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left="11482" w:hanging="0"/>
        <w:jc w:val="center"/>
        <w:rPr>
          <w:rFonts w:ascii="Times New Roman" w:hAnsi="Times New Roman"/>
          <w:sz w:val="14"/>
          <w:szCs w:val="14"/>
          <w:lang w:val="uk-UA"/>
        </w:rPr>
      </w:pPr>
      <w:r>
        <w:rPr>
          <w:rFonts w:ascii="Times New Roman" w:hAnsi="Times New Roman"/>
          <w:sz w:val="14"/>
          <w:szCs w:val="14"/>
          <w:lang w:val="uk-UA"/>
        </w:rPr>
        <w:t xml:space="preserve">Додаток № 2 </w:t>
        <w:br/>
        <w:t>до доповідної записки «Про виконання  Антикорупційної програми Національної поліції України на 2022-2024 роки»</w:t>
      </w:r>
    </w:p>
    <w:p>
      <w:pPr>
        <w:pStyle w:val="Normal"/>
        <w:spacing w:lineRule="auto" w:line="240" w:before="0" w:after="0"/>
        <w:ind w:left="11482" w:hanging="0"/>
        <w:jc w:val="center"/>
        <w:rPr>
          <w:rFonts w:ascii="Times New Roman" w:hAnsi="Times New Roman"/>
          <w:sz w:val="14"/>
          <w:szCs w:val="14"/>
          <w:lang w:val="uk-UA"/>
        </w:rPr>
      </w:pPr>
      <w:r>
        <w:rPr>
          <w:rFonts w:ascii="Times New Roman" w:hAnsi="Times New Roman"/>
          <w:sz w:val="14"/>
          <w:szCs w:val="14"/>
          <w:lang w:val="uk-UA"/>
        </w:rPr>
        <w:t>у 2кварталі 2024 року»</w:t>
      </w:r>
      <w:bookmarkStart w:id="0" w:name="_GoBack"/>
      <w:bookmarkEnd w:id="0"/>
    </w:p>
    <w:p>
      <w:pPr>
        <w:pStyle w:val="Heading3"/>
        <w:spacing w:lineRule="auto" w:line="240" w:before="0" w:after="0"/>
        <w:jc w:val="center"/>
        <w:rPr>
          <w:rFonts w:ascii="Times New Roman" w:hAnsi="Times New Roman"/>
          <w:color w:val="auto"/>
          <w:sz w:val="24"/>
          <w:szCs w:val="24"/>
          <w:lang w:val="uk-UA"/>
        </w:rPr>
      </w:pPr>
      <w:bookmarkStart w:id="1" w:name="1135"/>
      <w:bookmarkEnd w:id="1"/>
      <w:r>
        <w:rPr>
          <w:rFonts w:ascii="Times New Roman" w:hAnsi="Times New Roman"/>
          <w:color w:val="auto"/>
          <w:sz w:val="24"/>
          <w:szCs w:val="24"/>
          <w:lang w:val="uk-UA"/>
        </w:rPr>
        <w:t xml:space="preserve">РЕЄСТР РИЗИКІВ </w:t>
      </w:r>
    </w:p>
    <w:p>
      <w:pPr>
        <w:pStyle w:val="Normal"/>
        <w:spacing w:lineRule="auto" w:line="240" w:before="0" w:after="0"/>
        <w:jc w:val="center"/>
        <w:rPr>
          <w:rFonts w:ascii="Times New Roman" w:hAnsi="Times New Roman"/>
          <w:b/>
          <w:b/>
          <w:sz w:val="16"/>
          <w:szCs w:val="16"/>
          <w:lang w:val="uk-UA"/>
        </w:rPr>
      </w:pPr>
      <w:r>
        <w:rPr>
          <w:rFonts w:ascii="Times New Roman" w:hAnsi="Times New Roman"/>
          <w:b/>
          <w:sz w:val="16"/>
          <w:szCs w:val="16"/>
          <w:lang w:val="uk-UA"/>
        </w:rPr>
        <w:t>(виконання заходів, передбачених Антикорупційною програмою НПУ на 2022-2024 роки станом на 30.06.2024 року)</w:t>
      </w:r>
    </w:p>
    <w:tbl>
      <w:tblPr>
        <w:tblW w:w="5000" w:type="pct"/>
        <w:jc w:val="left"/>
        <w:tblInd w:w="-594" w:type="dxa"/>
        <w:tblLayout w:type="fixed"/>
        <w:tblCellMar>
          <w:top w:w="0" w:type="dxa"/>
          <w:left w:w="108" w:type="dxa"/>
          <w:bottom w:w="0" w:type="dxa"/>
          <w:right w:w="108" w:type="dxa"/>
        </w:tblCellMar>
        <w:tblLook w:val="00a0" w:noHBand="0" w:noVBand="0" w:firstColumn="1" w:lastRow="0" w:lastColumn="0" w:firstRow="1"/>
      </w:tblPr>
      <w:tblGrid>
        <w:gridCol w:w="276"/>
        <w:gridCol w:w="1084"/>
        <w:gridCol w:w="1246"/>
        <w:gridCol w:w="1084"/>
        <w:gridCol w:w="1091"/>
        <w:gridCol w:w="1170"/>
        <w:gridCol w:w="267"/>
        <w:gridCol w:w="278"/>
        <w:gridCol w:w="279"/>
        <w:gridCol w:w="1892"/>
        <w:gridCol w:w="545"/>
        <w:gridCol w:w="427"/>
        <w:gridCol w:w="799"/>
        <w:gridCol w:w="1071"/>
        <w:gridCol w:w="530"/>
        <w:gridCol w:w="545"/>
        <w:gridCol w:w="2553"/>
      </w:tblGrid>
      <w:tr>
        <w:trPr>
          <w:trHeight w:val="45" w:hRule="atLeast"/>
        </w:trPr>
        <w:tc>
          <w:tcPr>
            <w:tcW w:w="276" w:type="dxa"/>
            <w:vMerge w:val="restart"/>
            <w:tcBorders>
              <w:top w:val="outset" w:sz="8" w:space="0" w:color="000000"/>
              <w:left w:val="outset" w:sz="8" w:space="0" w:color="000000"/>
              <w:bottom w:val="single" w:sz="4"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ind w:left="-108" w:right="-101" w:hanging="0"/>
              <w:jc w:val="center"/>
              <w:outlineLvl w:val="2"/>
              <w:rPr>
                <w:rFonts w:ascii="Times New Roman" w:hAnsi="Times New Roman"/>
                <w:sz w:val="12"/>
                <w:szCs w:val="12"/>
                <w:lang w:val="uk-UA"/>
              </w:rPr>
            </w:pPr>
            <w:bookmarkStart w:id="2" w:name="1136"/>
            <w:bookmarkEnd w:id="2"/>
            <w:r>
              <w:rPr>
                <w:rFonts w:ascii="Times New Roman" w:hAnsi="Times New Roman"/>
                <w:sz w:val="12"/>
                <w:szCs w:val="12"/>
                <w:lang w:val="uk-UA"/>
              </w:rPr>
              <w:t>№</w:t>
            </w:r>
          </w:p>
        </w:tc>
        <w:tc>
          <w:tcPr>
            <w:tcW w:w="1084" w:type="dxa"/>
            <w:vMerge w:val="restart"/>
            <w:tcBorders>
              <w:top w:val="outset" w:sz="8" w:space="0" w:color="000000"/>
              <w:left w:val="outset" w:sz="8" w:space="0" w:color="000000"/>
              <w:bottom w:val="single" w:sz="4"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ind w:right="-107" w:hanging="0"/>
              <w:jc w:val="center"/>
              <w:outlineLvl w:val="2"/>
              <w:rPr>
                <w:rFonts w:ascii="Times New Roman" w:hAnsi="Times New Roman"/>
                <w:sz w:val="12"/>
                <w:szCs w:val="12"/>
                <w:lang w:val="uk-UA"/>
              </w:rPr>
            </w:pPr>
            <w:bookmarkStart w:id="3" w:name="1137"/>
            <w:bookmarkEnd w:id="3"/>
            <w:r>
              <w:rPr>
                <w:rFonts w:ascii="Times New Roman" w:hAnsi="Times New Roman"/>
                <w:sz w:val="12"/>
                <w:szCs w:val="12"/>
                <w:lang w:val="uk-UA"/>
              </w:rPr>
              <w:t>Функція, процес організації</w:t>
            </w:r>
          </w:p>
        </w:tc>
        <w:tc>
          <w:tcPr>
            <w:tcW w:w="1246" w:type="dxa"/>
            <w:vMerge w:val="restart"/>
            <w:tcBorders>
              <w:top w:val="outset" w:sz="8" w:space="0" w:color="000000"/>
              <w:left w:val="outset" w:sz="8" w:space="0" w:color="000000"/>
              <w:bottom w:val="single" w:sz="4"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ind w:left="-109" w:right="-92" w:hanging="0"/>
              <w:jc w:val="center"/>
              <w:outlineLvl w:val="2"/>
              <w:rPr>
                <w:rFonts w:ascii="Times New Roman" w:hAnsi="Times New Roman"/>
                <w:sz w:val="12"/>
                <w:szCs w:val="12"/>
                <w:lang w:val="uk-UA"/>
              </w:rPr>
            </w:pPr>
            <w:bookmarkStart w:id="4" w:name="1138"/>
            <w:bookmarkEnd w:id="4"/>
            <w:r>
              <w:rPr>
                <w:rFonts w:ascii="Times New Roman" w:hAnsi="Times New Roman"/>
                <w:sz w:val="12"/>
                <w:szCs w:val="12"/>
                <w:lang w:val="uk-UA"/>
              </w:rPr>
              <w:t>Корупційний ризик</w:t>
            </w:r>
          </w:p>
        </w:tc>
        <w:tc>
          <w:tcPr>
            <w:tcW w:w="1084" w:type="dxa"/>
            <w:vMerge w:val="restart"/>
            <w:tcBorders>
              <w:top w:val="outset" w:sz="8" w:space="0" w:color="000000"/>
              <w:left w:val="outset" w:sz="8" w:space="0" w:color="000000"/>
              <w:bottom w:val="single" w:sz="4"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ind w:left="-124" w:right="-90" w:hanging="0"/>
              <w:jc w:val="center"/>
              <w:outlineLvl w:val="2"/>
              <w:rPr>
                <w:rFonts w:ascii="Times New Roman" w:hAnsi="Times New Roman"/>
                <w:sz w:val="12"/>
                <w:szCs w:val="12"/>
                <w:lang w:val="uk-UA"/>
              </w:rPr>
            </w:pPr>
            <w:bookmarkStart w:id="5" w:name="1139"/>
            <w:bookmarkEnd w:id="5"/>
            <w:r>
              <w:rPr>
                <w:rFonts w:ascii="Times New Roman" w:hAnsi="Times New Roman"/>
                <w:sz w:val="12"/>
                <w:szCs w:val="12"/>
                <w:lang w:val="uk-UA"/>
              </w:rPr>
              <w:t>Зміст корупційного ризику</w:t>
            </w:r>
          </w:p>
        </w:tc>
        <w:tc>
          <w:tcPr>
            <w:tcW w:w="1091" w:type="dxa"/>
            <w:vMerge w:val="restart"/>
            <w:tcBorders>
              <w:top w:val="outset" w:sz="8" w:space="0" w:color="000000"/>
              <w:left w:val="outset" w:sz="8" w:space="0" w:color="000000"/>
              <w:bottom w:val="single" w:sz="4"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ind w:left="-127" w:right="-77" w:hanging="0"/>
              <w:jc w:val="center"/>
              <w:outlineLvl w:val="2"/>
              <w:rPr>
                <w:rFonts w:ascii="Times New Roman" w:hAnsi="Times New Roman"/>
                <w:sz w:val="12"/>
                <w:szCs w:val="12"/>
                <w:lang w:val="uk-UA"/>
              </w:rPr>
            </w:pPr>
            <w:bookmarkStart w:id="6" w:name="1140"/>
            <w:bookmarkEnd w:id="6"/>
            <w:r>
              <w:rPr>
                <w:rFonts w:ascii="Times New Roman" w:hAnsi="Times New Roman"/>
                <w:sz w:val="12"/>
                <w:szCs w:val="12"/>
                <w:lang w:val="uk-UA"/>
              </w:rPr>
              <w:t>Джерело(а) корупційного ризику</w:t>
            </w:r>
          </w:p>
        </w:tc>
        <w:tc>
          <w:tcPr>
            <w:tcW w:w="1170" w:type="dxa"/>
            <w:vMerge w:val="restart"/>
            <w:tcBorders>
              <w:top w:val="outset" w:sz="8" w:space="0" w:color="000000"/>
              <w:left w:val="outset" w:sz="8" w:space="0" w:color="000000"/>
              <w:bottom w:val="single" w:sz="4"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ind w:left="-139" w:right="-96" w:hanging="0"/>
              <w:jc w:val="center"/>
              <w:outlineLvl w:val="2"/>
              <w:rPr>
                <w:rFonts w:ascii="Times New Roman" w:hAnsi="Times New Roman"/>
                <w:sz w:val="12"/>
                <w:szCs w:val="12"/>
                <w:lang w:val="uk-UA"/>
              </w:rPr>
            </w:pPr>
            <w:bookmarkStart w:id="7" w:name="1141"/>
            <w:bookmarkEnd w:id="7"/>
            <w:r>
              <w:rPr>
                <w:rFonts w:ascii="Times New Roman" w:hAnsi="Times New Roman"/>
                <w:sz w:val="12"/>
                <w:szCs w:val="12"/>
                <w:lang w:val="uk-UA"/>
              </w:rPr>
              <w:t>Існуючі заходи контролю</w:t>
            </w:r>
          </w:p>
        </w:tc>
        <w:tc>
          <w:tcPr>
            <w:tcW w:w="824" w:type="dxa"/>
            <w:gridSpan w:val="3"/>
            <w:tcBorders>
              <w:top w:val="outset" w:sz="8" w:space="0" w:color="000000"/>
              <w:left w:val="outset" w:sz="8" w:space="0" w:color="000000"/>
              <w:bottom w:val="outset" w:sz="8"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ind w:left="-120" w:right="-100" w:hanging="0"/>
              <w:jc w:val="center"/>
              <w:outlineLvl w:val="2"/>
              <w:rPr>
                <w:rFonts w:ascii="Times New Roman" w:hAnsi="Times New Roman"/>
                <w:sz w:val="12"/>
                <w:szCs w:val="12"/>
                <w:lang w:val="uk-UA"/>
              </w:rPr>
            </w:pPr>
            <w:bookmarkStart w:id="8" w:name="1142"/>
            <w:bookmarkEnd w:id="8"/>
            <w:r>
              <w:rPr>
                <w:rFonts w:ascii="Times New Roman" w:hAnsi="Times New Roman"/>
                <w:sz w:val="12"/>
                <w:szCs w:val="12"/>
                <w:lang w:val="uk-UA"/>
              </w:rPr>
              <w:t>Аналіз корупційного ризику.</w:t>
            </w:r>
          </w:p>
          <w:p>
            <w:pPr>
              <w:pStyle w:val="Normal"/>
              <w:keepNext w:val="true"/>
              <w:keepLines/>
              <w:widowControl w:val="false"/>
              <w:numPr>
                <w:ilvl w:val="0"/>
                <w:numId w:val="0"/>
              </w:numPr>
              <w:spacing w:lineRule="auto" w:line="240" w:before="0" w:after="0"/>
              <w:ind w:left="-120" w:right="-100" w:hanging="0"/>
              <w:jc w:val="center"/>
              <w:outlineLvl w:val="2"/>
              <w:rPr>
                <w:rFonts w:ascii="Times New Roman" w:hAnsi="Times New Roman"/>
                <w:sz w:val="12"/>
                <w:szCs w:val="12"/>
                <w:lang w:val="uk-UA"/>
              </w:rPr>
            </w:pPr>
            <w:r>
              <w:rPr>
                <w:rFonts w:ascii="Times New Roman" w:hAnsi="Times New Roman"/>
                <w:sz w:val="12"/>
                <w:szCs w:val="12"/>
                <w:lang w:val="uk-UA"/>
              </w:rPr>
              <w:t>Рівень корупційного ризику</w:t>
            </w:r>
          </w:p>
        </w:tc>
        <w:tc>
          <w:tcPr>
            <w:tcW w:w="1892" w:type="dxa"/>
            <w:vMerge w:val="restart"/>
            <w:tcBorders>
              <w:top w:val="outset" w:sz="8" w:space="0" w:color="000000"/>
              <w:left w:val="outset" w:sz="8" w:space="0" w:color="000000"/>
              <w:bottom w:val="single" w:sz="4"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ind w:left="-64" w:right="-15" w:hanging="0"/>
              <w:jc w:val="center"/>
              <w:outlineLvl w:val="2"/>
              <w:rPr>
                <w:rFonts w:ascii="Times New Roman" w:hAnsi="Times New Roman"/>
                <w:sz w:val="12"/>
                <w:szCs w:val="12"/>
                <w:lang w:val="uk-UA"/>
              </w:rPr>
            </w:pPr>
            <w:bookmarkStart w:id="9" w:name="1143"/>
            <w:bookmarkEnd w:id="9"/>
            <w:r>
              <w:rPr>
                <w:rFonts w:ascii="Times New Roman" w:hAnsi="Times New Roman"/>
                <w:sz w:val="12"/>
                <w:szCs w:val="12"/>
                <w:lang w:val="uk-UA"/>
              </w:rPr>
              <w:t>Заходи впливу на корупційний ризик та  етапи їх виконання</w:t>
            </w:r>
          </w:p>
        </w:tc>
        <w:tc>
          <w:tcPr>
            <w:tcW w:w="545" w:type="dxa"/>
            <w:vMerge w:val="restart"/>
            <w:tcBorders>
              <w:top w:val="outset" w:sz="8" w:space="0" w:color="000000"/>
              <w:left w:val="outset" w:sz="8" w:space="0" w:color="000000"/>
              <w:bottom w:val="single" w:sz="4" w:space="0" w:color="000000"/>
              <w:right w:val="outset" w:sz="8" w:space="0" w:color="000000"/>
            </w:tcBorders>
            <w:shd w:color="auto" w:fill="CCFFFF" w:val="clear"/>
            <w:textDirection w:val="btLr"/>
            <w:vAlign w:val="center"/>
          </w:tcPr>
          <w:p>
            <w:pPr>
              <w:pStyle w:val="Normal"/>
              <w:keepNext w:val="true"/>
              <w:keepLines/>
              <w:widowControl w:val="false"/>
              <w:numPr>
                <w:ilvl w:val="0"/>
                <w:numId w:val="0"/>
              </w:numPr>
              <w:spacing w:lineRule="auto" w:line="240" w:before="0" w:after="0"/>
              <w:ind w:left="-75" w:right="-109" w:hanging="0"/>
              <w:jc w:val="center"/>
              <w:outlineLvl w:val="2"/>
              <w:rPr>
                <w:rFonts w:ascii="Times New Roman" w:hAnsi="Times New Roman"/>
                <w:sz w:val="12"/>
                <w:szCs w:val="12"/>
                <w:lang w:val="uk-UA"/>
              </w:rPr>
            </w:pPr>
            <w:bookmarkStart w:id="10" w:name="1144"/>
            <w:bookmarkEnd w:id="10"/>
            <w:r>
              <w:rPr>
                <w:rFonts w:ascii="Times New Roman" w:hAnsi="Times New Roman"/>
                <w:sz w:val="12"/>
                <w:szCs w:val="12"/>
                <w:lang w:val="uk-UA"/>
              </w:rPr>
              <w:t>Терміни (строки) виконання заходів впливу</w:t>
            </w:r>
          </w:p>
          <w:p>
            <w:pPr>
              <w:pStyle w:val="Normal"/>
              <w:keepNext w:val="true"/>
              <w:keepLines/>
              <w:widowControl w:val="false"/>
              <w:numPr>
                <w:ilvl w:val="0"/>
                <w:numId w:val="0"/>
              </w:numPr>
              <w:spacing w:lineRule="auto" w:line="240" w:before="0" w:after="0"/>
              <w:ind w:left="-75" w:right="-109" w:hanging="0"/>
              <w:jc w:val="center"/>
              <w:outlineLvl w:val="2"/>
              <w:rPr>
                <w:rFonts w:ascii="Times New Roman" w:hAnsi="Times New Roman"/>
                <w:sz w:val="12"/>
                <w:szCs w:val="12"/>
                <w:lang w:val="uk-UA"/>
              </w:rPr>
            </w:pPr>
            <w:r>
              <w:rPr>
                <w:rFonts w:ascii="Times New Roman" w:hAnsi="Times New Roman"/>
                <w:sz w:val="12"/>
                <w:szCs w:val="12"/>
                <w:lang w:val="uk-UA"/>
              </w:rPr>
              <w:t>на корупційний ризик</w:t>
            </w:r>
          </w:p>
        </w:tc>
        <w:tc>
          <w:tcPr>
            <w:tcW w:w="427" w:type="dxa"/>
            <w:vMerge w:val="restart"/>
            <w:tcBorders>
              <w:top w:val="outset" w:sz="8" w:space="0" w:color="000000"/>
              <w:left w:val="outset" w:sz="8" w:space="0" w:color="000000"/>
              <w:bottom w:val="single" w:sz="4" w:space="0" w:color="000000"/>
              <w:right w:val="outset" w:sz="8" w:space="0" w:color="000000"/>
            </w:tcBorders>
            <w:shd w:color="auto" w:fill="CCFFFF" w:val="clear"/>
            <w:textDirection w:val="btLr"/>
            <w:vAlign w:val="center"/>
          </w:tcPr>
          <w:p>
            <w:pPr>
              <w:pStyle w:val="Normal"/>
              <w:keepNext w:val="true"/>
              <w:keepLines/>
              <w:widowControl w:val="false"/>
              <w:numPr>
                <w:ilvl w:val="0"/>
                <w:numId w:val="0"/>
              </w:numPr>
              <w:spacing w:lineRule="auto" w:line="240" w:before="0" w:after="0"/>
              <w:ind w:left="-95" w:right="-129" w:hanging="0"/>
              <w:jc w:val="center"/>
              <w:outlineLvl w:val="2"/>
              <w:rPr>
                <w:rFonts w:ascii="Times New Roman" w:hAnsi="Times New Roman"/>
                <w:sz w:val="12"/>
                <w:szCs w:val="12"/>
                <w:lang w:val="uk-UA"/>
              </w:rPr>
            </w:pPr>
            <w:bookmarkStart w:id="11" w:name="1145"/>
            <w:bookmarkEnd w:id="11"/>
            <w:r>
              <w:rPr>
                <w:rFonts w:ascii="Times New Roman" w:hAnsi="Times New Roman"/>
                <w:sz w:val="12"/>
                <w:szCs w:val="12"/>
                <w:lang w:val="uk-UA"/>
              </w:rPr>
              <w:t>Відповідальні виконавці</w:t>
            </w:r>
          </w:p>
        </w:tc>
        <w:tc>
          <w:tcPr>
            <w:tcW w:w="799" w:type="dxa"/>
            <w:vMerge w:val="restart"/>
            <w:tcBorders>
              <w:top w:val="outset" w:sz="8" w:space="0" w:color="000000"/>
              <w:left w:val="outset" w:sz="8" w:space="0" w:color="000000"/>
              <w:bottom w:val="single" w:sz="4"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ind w:left="-87" w:right="-76" w:hanging="0"/>
              <w:jc w:val="center"/>
              <w:outlineLvl w:val="2"/>
              <w:rPr>
                <w:rFonts w:ascii="Times New Roman" w:hAnsi="Times New Roman"/>
                <w:sz w:val="12"/>
                <w:szCs w:val="12"/>
                <w:lang w:val="uk-UA"/>
              </w:rPr>
            </w:pPr>
            <w:bookmarkStart w:id="12" w:name="1146"/>
            <w:bookmarkEnd w:id="12"/>
            <w:r>
              <w:rPr>
                <w:rFonts w:ascii="Times New Roman" w:hAnsi="Times New Roman"/>
                <w:sz w:val="12"/>
                <w:szCs w:val="12"/>
                <w:lang w:val="uk-UA"/>
              </w:rPr>
              <w:t>Необхідні ресурси</w:t>
            </w:r>
          </w:p>
        </w:tc>
        <w:tc>
          <w:tcPr>
            <w:tcW w:w="1071" w:type="dxa"/>
            <w:vMerge w:val="restart"/>
            <w:tcBorders>
              <w:top w:val="outset" w:sz="8" w:space="0" w:color="000000"/>
              <w:left w:val="outset" w:sz="8" w:space="0" w:color="000000"/>
              <w:bottom w:val="single" w:sz="4"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ind w:left="-140" w:right="-75" w:hanging="0"/>
              <w:jc w:val="center"/>
              <w:outlineLvl w:val="2"/>
              <w:rPr>
                <w:rFonts w:ascii="Times New Roman" w:hAnsi="Times New Roman"/>
                <w:sz w:val="12"/>
                <w:szCs w:val="12"/>
                <w:lang w:val="uk-UA"/>
              </w:rPr>
            </w:pPr>
            <w:bookmarkStart w:id="13" w:name="1147"/>
            <w:bookmarkEnd w:id="13"/>
            <w:r>
              <w:rPr>
                <w:rFonts w:ascii="Times New Roman" w:hAnsi="Times New Roman"/>
                <w:sz w:val="12"/>
                <w:szCs w:val="12"/>
                <w:lang w:val="uk-UA"/>
              </w:rPr>
              <w:t>Індикатори виконання заходів впливу на корупційний ризик</w:t>
            </w:r>
          </w:p>
        </w:tc>
        <w:tc>
          <w:tcPr>
            <w:tcW w:w="3628" w:type="dxa"/>
            <w:gridSpan w:val="3"/>
            <w:vMerge w:val="restart"/>
            <w:tcBorders>
              <w:top w:val="outset" w:sz="8" w:space="0" w:color="000000"/>
              <w:left w:val="outset" w:sz="8" w:space="0" w:color="000000"/>
              <w:bottom w:val="outset" w:sz="8"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jc w:val="center"/>
              <w:outlineLvl w:val="2"/>
              <w:rPr>
                <w:rFonts w:ascii="Times New Roman" w:hAnsi="Times New Roman"/>
                <w:sz w:val="12"/>
                <w:szCs w:val="12"/>
                <w:lang w:val="uk-UA"/>
              </w:rPr>
            </w:pPr>
            <w:bookmarkStart w:id="14" w:name="1148"/>
            <w:bookmarkEnd w:id="14"/>
            <w:r>
              <w:rPr>
                <w:rFonts w:ascii="Times New Roman" w:hAnsi="Times New Roman"/>
                <w:sz w:val="12"/>
                <w:szCs w:val="12"/>
                <w:lang w:val="uk-UA"/>
              </w:rPr>
              <w:t>Моніторинг виконання заходів впливу на корупційні ризики</w:t>
            </w:r>
          </w:p>
        </w:tc>
      </w:tr>
      <w:tr>
        <w:trPr>
          <w:trHeight w:val="229" w:hRule="atLeast"/>
        </w:trPr>
        <w:tc>
          <w:tcPr>
            <w:tcW w:w="276" w:type="dxa"/>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left="-108" w:right="-101"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1084" w:type="dxa"/>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right="-107"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1246" w:type="dxa"/>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left="-109" w:right="-92"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1084" w:type="dxa"/>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left="-124" w:right="-90"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1091" w:type="dxa"/>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right="-78"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1170" w:type="dxa"/>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right="-96"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267" w:type="dxa"/>
            <w:vMerge w:val="restart"/>
            <w:tcBorders>
              <w:top w:val="outset" w:sz="8" w:space="0" w:color="000000"/>
              <w:left w:val="outset" w:sz="8" w:space="0" w:color="000000"/>
              <w:bottom w:val="single" w:sz="4" w:space="0" w:color="000000"/>
              <w:right w:val="outset" w:sz="8" w:space="0" w:color="000000"/>
            </w:tcBorders>
            <w:shd w:color="auto" w:fill="CCFFFF" w:val="clear"/>
            <w:textDirection w:val="btLr"/>
            <w:vAlign w:val="center"/>
          </w:tcPr>
          <w:p>
            <w:pPr>
              <w:pStyle w:val="Normal"/>
              <w:keepNext w:val="true"/>
              <w:keepLines/>
              <w:widowControl w:val="false"/>
              <w:numPr>
                <w:ilvl w:val="0"/>
                <w:numId w:val="0"/>
              </w:numPr>
              <w:spacing w:lineRule="auto" w:line="240" w:before="0" w:after="0"/>
              <w:ind w:left="-120" w:right="-113" w:hanging="0"/>
              <w:jc w:val="center"/>
              <w:outlineLvl w:val="2"/>
              <w:rPr>
                <w:rFonts w:ascii="Times New Roman" w:hAnsi="Times New Roman"/>
                <w:sz w:val="12"/>
                <w:szCs w:val="12"/>
                <w:lang w:val="uk-UA"/>
              </w:rPr>
            </w:pPr>
            <w:bookmarkStart w:id="15" w:name="1149"/>
            <w:bookmarkEnd w:id="15"/>
            <w:r>
              <w:rPr>
                <w:rFonts w:ascii="Times New Roman" w:hAnsi="Times New Roman"/>
                <w:sz w:val="12"/>
                <w:szCs w:val="12"/>
                <w:lang w:val="uk-UA"/>
              </w:rPr>
              <w:t xml:space="preserve">Рівень імовірності реалізації корупційного ризику </w:t>
            </w:r>
            <w:r>
              <w:rPr>
                <w:rFonts w:ascii="Times New Roman" w:hAnsi="Times New Roman"/>
                <w:i/>
                <w:sz w:val="12"/>
                <w:szCs w:val="12"/>
                <w:lang w:val="uk-UA"/>
              </w:rPr>
              <w:t>(бал "х")</w:t>
            </w:r>
          </w:p>
        </w:tc>
        <w:tc>
          <w:tcPr>
            <w:tcW w:w="278" w:type="dxa"/>
            <w:vMerge w:val="restart"/>
            <w:tcBorders>
              <w:top w:val="outset" w:sz="8" w:space="0" w:color="000000"/>
              <w:left w:val="outset" w:sz="8" w:space="0" w:color="000000"/>
              <w:bottom w:val="single" w:sz="4" w:space="0" w:color="000000"/>
              <w:right w:val="outset" w:sz="8" w:space="0" w:color="000000"/>
            </w:tcBorders>
            <w:shd w:color="auto" w:fill="CCFFFF" w:val="clear"/>
            <w:textDirection w:val="btLr"/>
            <w:vAlign w:val="center"/>
          </w:tcPr>
          <w:p>
            <w:pPr>
              <w:pStyle w:val="Normal"/>
              <w:keepNext w:val="true"/>
              <w:keepLines/>
              <w:widowControl w:val="false"/>
              <w:numPr>
                <w:ilvl w:val="0"/>
                <w:numId w:val="0"/>
              </w:numPr>
              <w:spacing w:lineRule="auto" w:line="240" w:before="0" w:after="0"/>
              <w:ind w:left="-120" w:right="-110" w:hanging="0"/>
              <w:jc w:val="center"/>
              <w:outlineLvl w:val="2"/>
              <w:rPr>
                <w:rFonts w:ascii="Times New Roman" w:hAnsi="Times New Roman"/>
                <w:sz w:val="12"/>
                <w:szCs w:val="12"/>
                <w:lang w:val="uk-UA"/>
              </w:rPr>
            </w:pPr>
            <w:bookmarkStart w:id="16" w:name="1150"/>
            <w:bookmarkEnd w:id="16"/>
            <w:r>
              <w:rPr>
                <w:rFonts w:ascii="Times New Roman" w:hAnsi="Times New Roman"/>
                <w:sz w:val="12"/>
                <w:szCs w:val="12"/>
                <w:lang w:val="uk-UA"/>
              </w:rPr>
              <w:t xml:space="preserve">Рівень наслідків від реалізації корупційного ризику </w:t>
            </w:r>
            <w:r>
              <w:rPr>
                <w:rFonts w:ascii="Times New Roman" w:hAnsi="Times New Roman"/>
                <w:i/>
                <w:sz w:val="12"/>
                <w:szCs w:val="12"/>
                <w:lang w:val="uk-UA"/>
              </w:rPr>
              <w:t>(бал "у")</w:t>
            </w:r>
          </w:p>
        </w:tc>
        <w:tc>
          <w:tcPr>
            <w:tcW w:w="279" w:type="dxa"/>
            <w:vMerge w:val="restart"/>
            <w:tcBorders>
              <w:top w:val="outset" w:sz="8" w:space="0" w:color="000000"/>
              <w:left w:val="outset" w:sz="8" w:space="0" w:color="000000"/>
              <w:bottom w:val="single" w:sz="4" w:space="0" w:color="000000"/>
              <w:right w:val="outset" w:sz="8" w:space="0" w:color="000000"/>
            </w:tcBorders>
            <w:shd w:color="auto" w:fill="CCFFFF" w:val="clear"/>
            <w:textDirection w:val="btLr"/>
            <w:vAlign w:val="center"/>
          </w:tcPr>
          <w:p>
            <w:pPr>
              <w:pStyle w:val="Normal"/>
              <w:keepNext w:val="true"/>
              <w:keepLines/>
              <w:widowControl w:val="false"/>
              <w:numPr>
                <w:ilvl w:val="0"/>
                <w:numId w:val="0"/>
              </w:numPr>
              <w:spacing w:lineRule="auto" w:line="240" w:before="0" w:after="0"/>
              <w:ind w:left="-120" w:right="-114" w:hanging="0"/>
              <w:jc w:val="center"/>
              <w:outlineLvl w:val="2"/>
              <w:rPr>
                <w:rFonts w:ascii="Times New Roman" w:hAnsi="Times New Roman"/>
                <w:sz w:val="12"/>
                <w:szCs w:val="12"/>
                <w:lang w:val="uk-UA"/>
              </w:rPr>
            </w:pPr>
            <w:bookmarkStart w:id="17" w:name="1151"/>
            <w:bookmarkEnd w:id="17"/>
            <w:r>
              <w:rPr>
                <w:rFonts w:ascii="Times New Roman" w:hAnsi="Times New Roman"/>
                <w:sz w:val="12"/>
                <w:szCs w:val="12"/>
                <w:lang w:val="uk-UA"/>
              </w:rPr>
              <w:t>Рівень корупційного ризику</w:t>
            </w:r>
          </w:p>
          <w:p>
            <w:pPr>
              <w:pStyle w:val="Normal"/>
              <w:keepNext w:val="true"/>
              <w:keepLines/>
              <w:widowControl w:val="false"/>
              <w:numPr>
                <w:ilvl w:val="0"/>
                <w:numId w:val="0"/>
              </w:numPr>
              <w:spacing w:lineRule="auto" w:line="240" w:before="0" w:after="0"/>
              <w:ind w:left="-120" w:right="-114" w:hanging="0"/>
              <w:jc w:val="center"/>
              <w:outlineLvl w:val="2"/>
              <w:rPr>
                <w:rFonts w:ascii="Times New Roman" w:hAnsi="Times New Roman"/>
                <w:sz w:val="12"/>
                <w:szCs w:val="12"/>
                <w:lang w:val="uk-UA"/>
              </w:rPr>
            </w:pPr>
            <w:r>
              <w:rPr>
                <w:rFonts w:ascii="Times New Roman" w:hAnsi="Times New Roman"/>
                <w:i/>
                <w:sz w:val="12"/>
                <w:szCs w:val="12"/>
                <w:lang w:val="uk-UA"/>
              </w:rPr>
              <w:t>(бал "х"ґ бал "у")</w:t>
            </w:r>
          </w:p>
        </w:tc>
        <w:tc>
          <w:tcPr>
            <w:tcW w:w="1892" w:type="dxa"/>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left="-64"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545" w:type="dxa"/>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jc w:val="center"/>
              <w:outlineLvl w:val="2"/>
              <w:rPr>
                <w:rFonts w:ascii="Times New Roman" w:hAnsi="Times New Roman"/>
                <w:sz w:val="12"/>
                <w:szCs w:val="12"/>
                <w:lang w:val="uk-UA"/>
              </w:rPr>
            </w:pPr>
            <w:r>
              <w:rPr>
                <w:rFonts w:ascii="Times New Roman" w:hAnsi="Times New Roman"/>
                <w:sz w:val="12"/>
                <w:szCs w:val="12"/>
                <w:lang w:val="uk-UA"/>
              </w:rPr>
            </w:r>
          </w:p>
        </w:tc>
        <w:tc>
          <w:tcPr>
            <w:tcW w:w="427" w:type="dxa"/>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jc w:val="center"/>
              <w:outlineLvl w:val="2"/>
              <w:rPr>
                <w:rFonts w:ascii="Times New Roman" w:hAnsi="Times New Roman"/>
                <w:sz w:val="12"/>
                <w:szCs w:val="12"/>
                <w:lang w:val="uk-UA"/>
              </w:rPr>
            </w:pPr>
            <w:r>
              <w:rPr>
                <w:rFonts w:ascii="Times New Roman" w:hAnsi="Times New Roman"/>
                <w:sz w:val="12"/>
                <w:szCs w:val="12"/>
                <w:lang w:val="uk-UA"/>
              </w:rPr>
            </w:r>
          </w:p>
        </w:tc>
        <w:tc>
          <w:tcPr>
            <w:tcW w:w="799" w:type="dxa"/>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jc w:val="center"/>
              <w:outlineLvl w:val="2"/>
              <w:rPr>
                <w:rFonts w:ascii="Times New Roman" w:hAnsi="Times New Roman"/>
                <w:sz w:val="12"/>
                <w:szCs w:val="12"/>
                <w:lang w:val="uk-UA"/>
              </w:rPr>
            </w:pPr>
            <w:r>
              <w:rPr>
                <w:rFonts w:ascii="Times New Roman" w:hAnsi="Times New Roman"/>
                <w:sz w:val="12"/>
                <w:szCs w:val="12"/>
                <w:lang w:val="uk-UA"/>
              </w:rPr>
            </w:r>
          </w:p>
        </w:tc>
        <w:tc>
          <w:tcPr>
            <w:tcW w:w="1071" w:type="dxa"/>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jc w:val="center"/>
              <w:outlineLvl w:val="2"/>
              <w:rPr>
                <w:rFonts w:ascii="Times New Roman" w:hAnsi="Times New Roman"/>
                <w:sz w:val="12"/>
                <w:szCs w:val="12"/>
                <w:lang w:val="uk-UA"/>
              </w:rPr>
            </w:pPr>
            <w:r>
              <w:rPr>
                <w:rFonts w:ascii="Times New Roman" w:hAnsi="Times New Roman"/>
                <w:sz w:val="12"/>
                <w:szCs w:val="12"/>
                <w:lang w:val="uk-UA"/>
              </w:rPr>
            </w:r>
          </w:p>
        </w:tc>
        <w:tc>
          <w:tcPr>
            <w:tcW w:w="3628" w:type="dxa"/>
            <w:gridSpan w:val="3"/>
            <w:vMerge w:val="continue"/>
            <w:tcBorders>
              <w:left w:val="outset" w:sz="8" w:space="0" w:color="000000"/>
              <w:bottom w:val="outset" w:sz="8"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jc w:val="center"/>
              <w:outlineLvl w:val="2"/>
              <w:rPr>
                <w:rFonts w:ascii="Times New Roman" w:hAnsi="Times New Roman"/>
                <w:sz w:val="12"/>
                <w:szCs w:val="12"/>
                <w:lang w:val="uk-UA"/>
              </w:rPr>
            </w:pPr>
            <w:r>
              <w:rPr>
                <w:rFonts w:ascii="Times New Roman" w:hAnsi="Times New Roman"/>
                <w:sz w:val="12"/>
                <w:szCs w:val="12"/>
                <w:lang w:val="uk-UA"/>
              </w:rPr>
            </w:r>
          </w:p>
        </w:tc>
      </w:tr>
      <w:tr>
        <w:trPr>
          <w:trHeight w:val="1562" w:hRule="atLeast"/>
          <w:cantSplit w:val="true"/>
        </w:trPr>
        <w:tc>
          <w:tcPr>
            <w:tcW w:w="276"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left="-108" w:right="-101"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1084"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right="-107"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1246"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left="-109" w:right="-92"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1084"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left="-124" w:right="-90"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1091"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right="-78"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1170"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right="-96"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267"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left="-120"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278"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left="-120"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279"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left="-120"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1892"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ind w:left="-64" w:hanging="0"/>
              <w:jc w:val="center"/>
              <w:outlineLvl w:val="2"/>
              <w:rPr>
                <w:rFonts w:ascii="Times New Roman" w:hAnsi="Times New Roman"/>
                <w:sz w:val="12"/>
                <w:szCs w:val="12"/>
                <w:lang w:val="uk-UA"/>
              </w:rPr>
            </w:pPr>
            <w:r>
              <w:rPr>
                <w:rFonts w:ascii="Times New Roman" w:hAnsi="Times New Roman"/>
                <w:sz w:val="12"/>
                <w:szCs w:val="12"/>
                <w:lang w:val="uk-UA"/>
              </w:rPr>
            </w:r>
          </w:p>
        </w:tc>
        <w:tc>
          <w:tcPr>
            <w:tcW w:w="545"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jc w:val="center"/>
              <w:outlineLvl w:val="2"/>
              <w:rPr>
                <w:rFonts w:ascii="Times New Roman" w:hAnsi="Times New Roman"/>
                <w:sz w:val="12"/>
                <w:szCs w:val="12"/>
                <w:lang w:val="uk-UA"/>
              </w:rPr>
            </w:pPr>
            <w:r>
              <w:rPr>
                <w:rFonts w:ascii="Times New Roman" w:hAnsi="Times New Roman"/>
                <w:sz w:val="12"/>
                <w:szCs w:val="12"/>
                <w:lang w:val="uk-UA"/>
              </w:rPr>
            </w:r>
          </w:p>
        </w:tc>
        <w:tc>
          <w:tcPr>
            <w:tcW w:w="427"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jc w:val="center"/>
              <w:outlineLvl w:val="2"/>
              <w:rPr>
                <w:rFonts w:ascii="Times New Roman" w:hAnsi="Times New Roman"/>
                <w:sz w:val="12"/>
                <w:szCs w:val="12"/>
                <w:lang w:val="uk-UA"/>
              </w:rPr>
            </w:pPr>
            <w:r>
              <w:rPr>
                <w:rFonts w:ascii="Times New Roman" w:hAnsi="Times New Roman"/>
                <w:sz w:val="12"/>
                <w:szCs w:val="12"/>
                <w:lang w:val="uk-UA"/>
              </w:rPr>
            </w:r>
          </w:p>
        </w:tc>
        <w:tc>
          <w:tcPr>
            <w:tcW w:w="799"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jc w:val="center"/>
              <w:outlineLvl w:val="2"/>
              <w:rPr>
                <w:rFonts w:ascii="Times New Roman" w:hAnsi="Times New Roman"/>
                <w:sz w:val="12"/>
                <w:szCs w:val="12"/>
                <w:lang w:val="uk-UA"/>
              </w:rPr>
            </w:pPr>
            <w:r>
              <w:rPr>
                <w:rFonts w:ascii="Times New Roman" w:hAnsi="Times New Roman"/>
                <w:sz w:val="12"/>
                <w:szCs w:val="12"/>
                <w:lang w:val="uk-UA"/>
              </w:rPr>
            </w:r>
          </w:p>
        </w:tc>
        <w:tc>
          <w:tcPr>
            <w:tcW w:w="1071" w:type="dxa"/>
            <w:vMerge w:val="continue"/>
            <w:tcBorders>
              <w:left w:val="outset" w:sz="8" w:space="0" w:color="000000"/>
              <w:bottom w:val="single" w:sz="4" w:space="0" w:color="000000"/>
              <w:right w:val="outset" w:sz="8" w:space="0" w:color="000000"/>
            </w:tcBorders>
            <w:shd w:color="auto" w:fill="CCFFFF" w:val="clear"/>
          </w:tcPr>
          <w:p>
            <w:pPr>
              <w:pStyle w:val="Normal"/>
              <w:keepNext w:val="true"/>
              <w:keepLines/>
              <w:widowControl w:val="false"/>
              <w:numPr>
                <w:ilvl w:val="0"/>
                <w:numId w:val="0"/>
              </w:numPr>
              <w:spacing w:lineRule="auto" w:line="240" w:before="0" w:after="0"/>
              <w:jc w:val="center"/>
              <w:outlineLvl w:val="2"/>
              <w:rPr>
                <w:rFonts w:ascii="Times New Roman" w:hAnsi="Times New Roman"/>
                <w:sz w:val="12"/>
                <w:szCs w:val="12"/>
                <w:lang w:val="uk-UA"/>
              </w:rPr>
            </w:pPr>
            <w:r>
              <w:rPr>
                <w:rFonts w:ascii="Times New Roman" w:hAnsi="Times New Roman"/>
                <w:sz w:val="12"/>
                <w:szCs w:val="12"/>
                <w:lang w:val="uk-UA"/>
              </w:rPr>
            </w:r>
          </w:p>
        </w:tc>
        <w:tc>
          <w:tcPr>
            <w:tcW w:w="530" w:type="dxa"/>
            <w:tcBorders>
              <w:top w:val="outset" w:sz="8" w:space="0" w:color="000000"/>
              <w:left w:val="outset" w:sz="8" w:space="0" w:color="000000"/>
              <w:bottom w:val="single" w:sz="4" w:space="0" w:color="000000"/>
              <w:right w:val="outset" w:sz="8" w:space="0" w:color="000000"/>
            </w:tcBorders>
            <w:shd w:color="auto" w:fill="CCFFFF" w:val="clear"/>
            <w:textDirection w:val="btLr"/>
            <w:vAlign w:val="center"/>
          </w:tcPr>
          <w:p>
            <w:pPr>
              <w:pStyle w:val="Normal"/>
              <w:keepNext w:val="true"/>
              <w:keepLines/>
              <w:widowControl w:val="false"/>
              <w:numPr>
                <w:ilvl w:val="0"/>
                <w:numId w:val="0"/>
              </w:numPr>
              <w:spacing w:lineRule="auto" w:line="240" w:before="0" w:after="0"/>
              <w:ind w:left="-111" w:right="-103" w:hanging="0"/>
              <w:jc w:val="center"/>
              <w:outlineLvl w:val="2"/>
              <w:rPr>
                <w:rFonts w:ascii="Times New Roman" w:hAnsi="Times New Roman"/>
                <w:sz w:val="12"/>
                <w:szCs w:val="12"/>
                <w:lang w:val="uk-UA"/>
              </w:rPr>
            </w:pPr>
            <w:bookmarkStart w:id="18" w:name="1152"/>
            <w:bookmarkEnd w:id="18"/>
            <w:r>
              <w:rPr>
                <w:rFonts w:ascii="Times New Roman" w:hAnsi="Times New Roman"/>
                <w:sz w:val="12"/>
                <w:szCs w:val="12"/>
                <w:lang w:val="uk-UA"/>
              </w:rPr>
              <w:t>Фактичний термін (строк) виконання заходів впливу на корупційний ризик</w:t>
            </w:r>
          </w:p>
        </w:tc>
        <w:tc>
          <w:tcPr>
            <w:tcW w:w="545" w:type="dxa"/>
            <w:tcBorders>
              <w:top w:val="outset" w:sz="8" w:space="0" w:color="000000"/>
              <w:left w:val="outset" w:sz="8" w:space="0" w:color="000000"/>
              <w:bottom w:val="single" w:sz="4" w:space="0" w:color="000000"/>
              <w:right w:val="outset" w:sz="8" w:space="0" w:color="000000"/>
            </w:tcBorders>
            <w:shd w:color="auto" w:fill="CCFFFF" w:val="clear"/>
            <w:textDirection w:val="btLr"/>
            <w:vAlign w:val="center"/>
          </w:tcPr>
          <w:p>
            <w:pPr>
              <w:pStyle w:val="Normal"/>
              <w:keepNext w:val="true"/>
              <w:keepLines/>
              <w:widowControl w:val="false"/>
              <w:numPr>
                <w:ilvl w:val="0"/>
                <w:numId w:val="0"/>
              </w:numPr>
              <w:spacing w:lineRule="auto" w:line="240" w:before="0" w:after="0"/>
              <w:ind w:left="-113" w:right="-109" w:hanging="0"/>
              <w:jc w:val="center"/>
              <w:outlineLvl w:val="2"/>
              <w:rPr>
                <w:rFonts w:ascii="Times New Roman" w:hAnsi="Times New Roman"/>
                <w:sz w:val="12"/>
                <w:szCs w:val="12"/>
                <w:lang w:val="uk-UA"/>
              </w:rPr>
            </w:pPr>
            <w:bookmarkStart w:id="19" w:name="1153"/>
            <w:bookmarkEnd w:id="19"/>
            <w:r>
              <w:rPr>
                <w:rFonts w:ascii="Times New Roman" w:hAnsi="Times New Roman"/>
                <w:sz w:val="12"/>
                <w:szCs w:val="12"/>
                <w:lang w:val="uk-UA"/>
              </w:rPr>
              <w:t>Стан виконання заходів</w:t>
            </w:r>
          </w:p>
          <w:p>
            <w:pPr>
              <w:pStyle w:val="Normal"/>
              <w:keepNext w:val="true"/>
              <w:keepLines/>
              <w:widowControl w:val="false"/>
              <w:numPr>
                <w:ilvl w:val="0"/>
                <w:numId w:val="0"/>
              </w:numPr>
              <w:spacing w:lineRule="auto" w:line="240" w:before="0" w:after="0"/>
              <w:ind w:left="-113" w:right="-109" w:hanging="0"/>
              <w:jc w:val="center"/>
              <w:outlineLvl w:val="2"/>
              <w:rPr>
                <w:rFonts w:ascii="Times New Roman" w:hAnsi="Times New Roman"/>
                <w:sz w:val="12"/>
                <w:szCs w:val="12"/>
                <w:lang w:val="uk-UA"/>
              </w:rPr>
            </w:pPr>
            <w:r>
              <w:rPr>
                <w:rFonts w:ascii="Times New Roman" w:hAnsi="Times New Roman"/>
                <w:sz w:val="12"/>
                <w:szCs w:val="12"/>
                <w:lang w:val="uk-UA"/>
              </w:rPr>
              <w:t>впливу на корупційний ризик (виконано/не виконано/</w:t>
            </w:r>
          </w:p>
          <w:p>
            <w:pPr>
              <w:pStyle w:val="Normal"/>
              <w:keepNext w:val="true"/>
              <w:keepLines/>
              <w:widowControl w:val="false"/>
              <w:numPr>
                <w:ilvl w:val="0"/>
                <w:numId w:val="0"/>
              </w:numPr>
              <w:spacing w:lineRule="auto" w:line="240" w:before="0" w:after="0"/>
              <w:ind w:left="-113" w:right="-109" w:hanging="0"/>
              <w:jc w:val="center"/>
              <w:outlineLvl w:val="2"/>
              <w:rPr>
                <w:rFonts w:ascii="Times New Roman" w:hAnsi="Times New Roman"/>
                <w:sz w:val="12"/>
                <w:szCs w:val="12"/>
                <w:lang w:val="uk-UA"/>
              </w:rPr>
            </w:pPr>
            <w:r>
              <w:rPr>
                <w:rFonts w:ascii="Times New Roman" w:hAnsi="Times New Roman"/>
                <w:sz w:val="12"/>
                <w:szCs w:val="12"/>
                <w:lang w:val="uk-UA"/>
              </w:rPr>
              <w:t>виконано частково)</w:t>
            </w:r>
          </w:p>
        </w:tc>
        <w:tc>
          <w:tcPr>
            <w:tcW w:w="2553" w:type="dxa"/>
            <w:tcBorders>
              <w:top w:val="outset" w:sz="8" w:space="0" w:color="000000"/>
              <w:left w:val="outset" w:sz="8" w:space="0" w:color="000000"/>
              <w:bottom w:val="single" w:sz="4" w:space="0" w:color="000000"/>
              <w:right w:val="outset" w:sz="8" w:space="0" w:color="000000"/>
            </w:tcBorders>
            <w:shd w:color="auto" w:fill="CCFFFF" w:val="clear"/>
            <w:vAlign w:val="center"/>
          </w:tcPr>
          <w:p>
            <w:pPr>
              <w:pStyle w:val="Normal"/>
              <w:keepNext w:val="true"/>
              <w:keepLines/>
              <w:widowControl w:val="false"/>
              <w:numPr>
                <w:ilvl w:val="0"/>
                <w:numId w:val="0"/>
              </w:numPr>
              <w:spacing w:lineRule="auto" w:line="240" w:before="0" w:after="0"/>
              <w:ind w:left="-107" w:right="-109" w:hanging="0"/>
              <w:jc w:val="center"/>
              <w:outlineLvl w:val="2"/>
              <w:rPr>
                <w:rFonts w:ascii="Times New Roman" w:hAnsi="Times New Roman"/>
                <w:sz w:val="12"/>
                <w:szCs w:val="12"/>
                <w:lang w:val="uk-UA"/>
              </w:rPr>
            </w:pPr>
            <w:bookmarkStart w:id="20" w:name="1154"/>
            <w:bookmarkEnd w:id="20"/>
            <w:r>
              <w:rPr>
                <w:rFonts w:ascii="Times New Roman" w:hAnsi="Times New Roman"/>
                <w:sz w:val="12"/>
                <w:szCs w:val="12"/>
                <w:lang w:val="uk-UA"/>
              </w:rPr>
              <w:t>Опис результатів виконання заходів впливу на корупційний ризик або інформація про причини невиконання</w:t>
            </w:r>
          </w:p>
        </w:tc>
      </w:tr>
      <w:tr>
        <w:trPr>
          <w:trHeight w:val="45" w:hRule="atLeast"/>
        </w:trPr>
        <w:tc>
          <w:tcPr>
            <w:tcW w:w="276"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ind w:left="-108" w:right="-101" w:hanging="0"/>
              <w:jc w:val="center"/>
              <w:rPr>
                <w:rFonts w:ascii="Times New Roman" w:hAnsi="Times New Roman"/>
                <w:i/>
                <w:i/>
                <w:sz w:val="14"/>
                <w:szCs w:val="14"/>
                <w:lang w:val="uk-UA"/>
              </w:rPr>
            </w:pPr>
            <w:bookmarkStart w:id="21" w:name="1155"/>
            <w:bookmarkEnd w:id="21"/>
            <w:r>
              <w:rPr>
                <w:rFonts w:ascii="Times New Roman" w:hAnsi="Times New Roman"/>
                <w:i/>
                <w:sz w:val="14"/>
                <w:szCs w:val="14"/>
                <w:lang w:val="uk-UA"/>
              </w:rPr>
              <w:t>1</w:t>
            </w:r>
          </w:p>
        </w:tc>
        <w:tc>
          <w:tcPr>
            <w:tcW w:w="1084"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ind w:right="-107" w:hanging="0"/>
              <w:jc w:val="center"/>
              <w:rPr>
                <w:rFonts w:ascii="Times New Roman" w:hAnsi="Times New Roman"/>
                <w:i/>
                <w:i/>
                <w:sz w:val="14"/>
                <w:szCs w:val="14"/>
                <w:lang w:val="uk-UA"/>
              </w:rPr>
            </w:pPr>
            <w:bookmarkStart w:id="22" w:name="1156"/>
            <w:bookmarkEnd w:id="22"/>
            <w:r>
              <w:rPr>
                <w:rFonts w:ascii="Times New Roman" w:hAnsi="Times New Roman"/>
                <w:i/>
                <w:sz w:val="14"/>
                <w:szCs w:val="14"/>
                <w:lang w:val="uk-UA"/>
              </w:rPr>
              <w:t>2</w:t>
            </w:r>
          </w:p>
        </w:tc>
        <w:tc>
          <w:tcPr>
            <w:tcW w:w="1246"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ind w:left="-109" w:right="-92" w:hanging="0"/>
              <w:jc w:val="center"/>
              <w:rPr>
                <w:rFonts w:ascii="Times New Roman" w:hAnsi="Times New Roman"/>
                <w:i/>
                <w:i/>
                <w:sz w:val="14"/>
                <w:szCs w:val="14"/>
                <w:lang w:val="uk-UA"/>
              </w:rPr>
            </w:pPr>
            <w:bookmarkStart w:id="23" w:name="1157"/>
            <w:bookmarkEnd w:id="23"/>
            <w:r>
              <w:rPr>
                <w:rFonts w:ascii="Times New Roman" w:hAnsi="Times New Roman"/>
                <w:i/>
                <w:sz w:val="14"/>
                <w:szCs w:val="14"/>
                <w:lang w:val="uk-UA"/>
              </w:rPr>
              <w:t>3</w:t>
            </w:r>
          </w:p>
        </w:tc>
        <w:tc>
          <w:tcPr>
            <w:tcW w:w="1084"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ind w:left="-124" w:right="-90" w:hanging="0"/>
              <w:jc w:val="center"/>
              <w:rPr>
                <w:rFonts w:ascii="Times New Roman" w:hAnsi="Times New Roman"/>
                <w:i/>
                <w:i/>
                <w:sz w:val="14"/>
                <w:szCs w:val="14"/>
                <w:lang w:val="uk-UA"/>
              </w:rPr>
            </w:pPr>
            <w:bookmarkStart w:id="24" w:name="1158"/>
            <w:bookmarkEnd w:id="24"/>
            <w:r>
              <w:rPr>
                <w:rFonts w:ascii="Times New Roman" w:hAnsi="Times New Roman"/>
                <w:i/>
                <w:sz w:val="14"/>
                <w:szCs w:val="14"/>
                <w:lang w:val="uk-UA"/>
              </w:rPr>
              <w:t>4</w:t>
            </w:r>
          </w:p>
        </w:tc>
        <w:tc>
          <w:tcPr>
            <w:tcW w:w="1091"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ind w:right="-78" w:hanging="0"/>
              <w:jc w:val="center"/>
              <w:rPr>
                <w:rFonts w:ascii="Times New Roman" w:hAnsi="Times New Roman"/>
                <w:i/>
                <w:i/>
                <w:sz w:val="14"/>
                <w:szCs w:val="14"/>
                <w:lang w:val="uk-UA"/>
              </w:rPr>
            </w:pPr>
            <w:bookmarkStart w:id="25" w:name="1159"/>
            <w:bookmarkEnd w:id="25"/>
            <w:r>
              <w:rPr>
                <w:rFonts w:ascii="Times New Roman" w:hAnsi="Times New Roman"/>
                <w:i/>
                <w:sz w:val="14"/>
                <w:szCs w:val="14"/>
                <w:lang w:val="uk-UA"/>
              </w:rPr>
              <w:t>5</w:t>
            </w:r>
          </w:p>
        </w:tc>
        <w:tc>
          <w:tcPr>
            <w:tcW w:w="1170"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ind w:right="-96" w:hanging="0"/>
              <w:jc w:val="center"/>
              <w:rPr>
                <w:rFonts w:ascii="Times New Roman" w:hAnsi="Times New Roman"/>
                <w:i/>
                <w:i/>
                <w:sz w:val="14"/>
                <w:szCs w:val="14"/>
                <w:lang w:val="uk-UA"/>
              </w:rPr>
            </w:pPr>
            <w:bookmarkStart w:id="26" w:name="1160"/>
            <w:bookmarkEnd w:id="26"/>
            <w:r>
              <w:rPr>
                <w:rFonts w:ascii="Times New Roman" w:hAnsi="Times New Roman"/>
                <w:i/>
                <w:sz w:val="14"/>
                <w:szCs w:val="14"/>
                <w:lang w:val="uk-UA"/>
              </w:rPr>
              <w:t>6</w:t>
            </w:r>
          </w:p>
        </w:tc>
        <w:tc>
          <w:tcPr>
            <w:tcW w:w="267"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ind w:left="-120" w:right="-145" w:hanging="0"/>
              <w:jc w:val="center"/>
              <w:rPr>
                <w:rFonts w:ascii="Times New Roman" w:hAnsi="Times New Roman"/>
                <w:i/>
                <w:i/>
                <w:sz w:val="14"/>
                <w:szCs w:val="14"/>
                <w:lang w:val="uk-UA"/>
              </w:rPr>
            </w:pPr>
            <w:bookmarkStart w:id="27" w:name="1161"/>
            <w:bookmarkEnd w:id="27"/>
            <w:r>
              <w:rPr>
                <w:rFonts w:ascii="Times New Roman" w:hAnsi="Times New Roman"/>
                <w:i/>
                <w:sz w:val="14"/>
                <w:szCs w:val="14"/>
                <w:lang w:val="uk-UA"/>
              </w:rPr>
              <w:t>7</w:t>
            </w:r>
          </w:p>
        </w:tc>
        <w:tc>
          <w:tcPr>
            <w:tcW w:w="278"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ind w:left="-120" w:right="-100" w:hanging="0"/>
              <w:jc w:val="center"/>
              <w:rPr>
                <w:rFonts w:ascii="Times New Roman" w:hAnsi="Times New Roman"/>
                <w:i/>
                <w:i/>
                <w:sz w:val="14"/>
                <w:szCs w:val="14"/>
                <w:lang w:val="uk-UA"/>
              </w:rPr>
            </w:pPr>
            <w:bookmarkStart w:id="28" w:name="1162"/>
            <w:bookmarkEnd w:id="28"/>
            <w:r>
              <w:rPr>
                <w:rFonts w:ascii="Times New Roman" w:hAnsi="Times New Roman"/>
                <w:i/>
                <w:sz w:val="14"/>
                <w:szCs w:val="14"/>
                <w:lang w:val="uk-UA"/>
              </w:rPr>
              <w:t>8</w:t>
            </w:r>
          </w:p>
        </w:tc>
        <w:tc>
          <w:tcPr>
            <w:tcW w:w="279"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ind w:left="-120" w:right="-94" w:hanging="0"/>
              <w:jc w:val="center"/>
              <w:rPr>
                <w:rFonts w:ascii="Times New Roman" w:hAnsi="Times New Roman"/>
                <w:i/>
                <w:i/>
                <w:sz w:val="14"/>
                <w:szCs w:val="14"/>
                <w:lang w:val="uk-UA"/>
              </w:rPr>
            </w:pPr>
            <w:bookmarkStart w:id="29" w:name="1163"/>
            <w:bookmarkEnd w:id="29"/>
            <w:r>
              <w:rPr>
                <w:rFonts w:ascii="Times New Roman" w:hAnsi="Times New Roman"/>
                <w:i/>
                <w:sz w:val="14"/>
                <w:szCs w:val="14"/>
                <w:lang w:val="uk-UA"/>
              </w:rPr>
              <w:t>9</w:t>
            </w:r>
          </w:p>
        </w:tc>
        <w:tc>
          <w:tcPr>
            <w:tcW w:w="1892"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ind w:left="-64" w:hanging="0"/>
              <w:jc w:val="center"/>
              <w:rPr>
                <w:rFonts w:ascii="Times New Roman" w:hAnsi="Times New Roman"/>
                <w:i/>
                <w:i/>
                <w:sz w:val="14"/>
                <w:szCs w:val="14"/>
                <w:lang w:val="uk-UA"/>
              </w:rPr>
            </w:pPr>
            <w:bookmarkStart w:id="30" w:name="1164"/>
            <w:bookmarkEnd w:id="30"/>
            <w:r>
              <w:rPr>
                <w:rFonts w:ascii="Times New Roman" w:hAnsi="Times New Roman"/>
                <w:i/>
                <w:sz w:val="14"/>
                <w:szCs w:val="14"/>
                <w:lang w:val="uk-UA"/>
              </w:rPr>
              <w:t>10</w:t>
            </w:r>
          </w:p>
        </w:tc>
        <w:tc>
          <w:tcPr>
            <w:tcW w:w="545"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jc w:val="center"/>
              <w:rPr>
                <w:rFonts w:ascii="Times New Roman" w:hAnsi="Times New Roman"/>
                <w:i/>
                <w:i/>
                <w:sz w:val="14"/>
                <w:szCs w:val="14"/>
                <w:lang w:val="uk-UA"/>
              </w:rPr>
            </w:pPr>
            <w:bookmarkStart w:id="31" w:name="1165"/>
            <w:bookmarkEnd w:id="31"/>
            <w:r>
              <w:rPr>
                <w:rFonts w:ascii="Times New Roman" w:hAnsi="Times New Roman"/>
                <w:i/>
                <w:sz w:val="14"/>
                <w:szCs w:val="14"/>
                <w:lang w:val="uk-UA"/>
              </w:rPr>
              <w:t>11</w:t>
            </w:r>
          </w:p>
        </w:tc>
        <w:tc>
          <w:tcPr>
            <w:tcW w:w="427"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jc w:val="center"/>
              <w:rPr>
                <w:rFonts w:ascii="Times New Roman" w:hAnsi="Times New Roman"/>
                <w:i/>
                <w:i/>
                <w:sz w:val="14"/>
                <w:szCs w:val="14"/>
                <w:lang w:val="uk-UA"/>
              </w:rPr>
            </w:pPr>
            <w:bookmarkStart w:id="32" w:name="1166"/>
            <w:bookmarkEnd w:id="32"/>
            <w:r>
              <w:rPr>
                <w:rFonts w:ascii="Times New Roman" w:hAnsi="Times New Roman"/>
                <w:i/>
                <w:sz w:val="14"/>
                <w:szCs w:val="14"/>
                <w:lang w:val="uk-UA"/>
              </w:rPr>
              <w:t>12</w:t>
            </w:r>
          </w:p>
        </w:tc>
        <w:tc>
          <w:tcPr>
            <w:tcW w:w="799"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jc w:val="center"/>
              <w:rPr>
                <w:rFonts w:ascii="Times New Roman" w:hAnsi="Times New Roman"/>
                <w:i/>
                <w:i/>
                <w:sz w:val="14"/>
                <w:szCs w:val="14"/>
                <w:lang w:val="uk-UA"/>
              </w:rPr>
            </w:pPr>
            <w:bookmarkStart w:id="33" w:name="1167"/>
            <w:bookmarkEnd w:id="33"/>
            <w:r>
              <w:rPr>
                <w:rFonts w:ascii="Times New Roman" w:hAnsi="Times New Roman"/>
                <w:i/>
                <w:sz w:val="14"/>
                <w:szCs w:val="14"/>
                <w:lang w:val="uk-UA"/>
              </w:rPr>
              <w:t>13</w:t>
            </w:r>
          </w:p>
        </w:tc>
        <w:tc>
          <w:tcPr>
            <w:tcW w:w="1071"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jc w:val="center"/>
              <w:rPr>
                <w:rFonts w:ascii="Times New Roman" w:hAnsi="Times New Roman"/>
                <w:i/>
                <w:i/>
                <w:sz w:val="14"/>
                <w:szCs w:val="14"/>
                <w:lang w:val="uk-UA"/>
              </w:rPr>
            </w:pPr>
            <w:bookmarkStart w:id="34" w:name="1168"/>
            <w:bookmarkEnd w:id="34"/>
            <w:r>
              <w:rPr>
                <w:rFonts w:ascii="Times New Roman" w:hAnsi="Times New Roman"/>
                <w:i/>
                <w:sz w:val="14"/>
                <w:szCs w:val="14"/>
                <w:lang w:val="uk-UA"/>
              </w:rPr>
              <w:t>14</w:t>
            </w:r>
          </w:p>
        </w:tc>
        <w:tc>
          <w:tcPr>
            <w:tcW w:w="530"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jc w:val="center"/>
              <w:rPr>
                <w:rFonts w:ascii="Times New Roman" w:hAnsi="Times New Roman"/>
                <w:i/>
                <w:i/>
                <w:sz w:val="14"/>
                <w:szCs w:val="14"/>
                <w:lang w:val="uk-UA"/>
              </w:rPr>
            </w:pPr>
            <w:bookmarkStart w:id="35" w:name="1169"/>
            <w:bookmarkEnd w:id="35"/>
            <w:r>
              <w:rPr>
                <w:rFonts w:ascii="Times New Roman" w:hAnsi="Times New Roman"/>
                <w:i/>
                <w:sz w:val="14"/>
                <w:szCs w:val="14"/>
                <w:lang w:val="uk-UA"/>
              </w:rPr>
              <w:t>15</w:t>
            </w:r>
          </w:p>
        </w:tc>
        <w:tc>
          <w:tcPr>
            <w:tcW w:w="545"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ind w:left="-108" w:right="-108" w:hanging="0"/>
              <w:jc w:val="center"/>
              <w:rPr>
                <w:rFonts w:ascii="Times New Roman" w:hAnsi="Times New Roman"/>
                <w:i/>
                <w:i/>
                <w:sz w:val="14"/>
                <w:szCs w:val="14"/>
                <w:lang w:val="uk-UA"/>
              </w:rPr>
            </w:pPr>
            <w:bookmarkStart w:id="36" w:name="1170"/>
            <w:bookmarkEnd w:id="36"/>
            <w:r>
              <w:rPr>
                <w:rFonts w:ascii="Times New Roman" w:hAnsi="Times New Roman"/>
                <w:i/>
                <w:sz w:val="14"/>
                <w:szCs w:val="14"/>
                <w:lang w:val="uk-UA"/>
              </w:rPr>
              <w:t>16</w:t>
            </w:r>
          </w:p>
        </w:tc>
        <w:tc>
          <w:tcPr>
            <w:tcW w:w="2553" w:type="dxa"/>
            <w:tcBorders>
              <w:top w:val="single" w:sz="4" w:space="0" w:color="000000"/>
              <w:left w:val="outset" w:sz="8" w:space="0" w:color="000000"/>
              <w:bottom w:val="outset" w:sz="8" w:space="0" w:color="000000"/>
              <w:right w:val="outset" w:sz="8" w:space="0" w:color="000000"/>
            </w:tcBorders>
            <w:shd w:color="auto" w:fill="FFFF99" w:val="clear"/>
            <w:vAlign w:val="center"/>
          </w:tcPr>
          <w:p>
            <w:pPr>
              <w:pStyle w:val="Normal"/>
              <w:widowControl w:val="false"/>
              <w:spacing w:lineRule="auto" w:line="240" w:before="0" w:after="0"/>
              <w:jc w:val="center"/>
              <w:rPr>
                <w:rFonts w:ascii="Times New Roman" w:hAnsi="Times New Roman"/>
                <w:i/>
                <w:i/>
                <w:sz w:val="14"/>
                <w:szCs w:val="14"/>
                <w:lang w:val="uk-UA"/>
              </w:rPr>
            </w:pPr>
            <w:bookmarkStart w:id="37" w:name="1171"/>
            <w:bookmarkEnd w:id="37"/>
            <w:r>
              <w:rPr>
                <w:rFonts w:ascii="Times New Roman" w:hAnsi="Times New Roman"/>
                <w:i/>
                <w:sz w:val="14"/>
                <w:szCs w:val="14"/>
                <w:lang w:val="uk-UA"/>
              </w:rPr>
              <w:t>17</w:t>
            </w:r>
          </w:p>
        </w:tc>
      </w:tr>
      <w:tr>
        <w:trPr>
          <w:trHeight w:val="7151"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1</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 xml:space="preserve">І. Організаційно - управлінська </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 xml:space="preserve">діяльність </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 xml:space="preserve">національної </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поліції України</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затвердження внутрішніх організаційно-розпорядчих актів з наявними корупціогенними факторами, що можуть призвести до вчинення корупційних або пов’язаних з корупцією правопорушень</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pacing w:val="-8"/>
                <w:sz w:val="14"/>
                <w:szCs w:val="14"/>
                <w:shd w:fill="FFFFFF" w:val="clear"/>
                <w:lang w:val="uk-UA" w:eastAsia="ru-RU"/>
              </w:rPr>
            </w:pPr>
            <w:r>
              <w:rPr>
                <w:rFonts w:ascii="Times New Roman" w:hAnsi="Times New Roman"/>
                <w:sz w:val="14"/>
                <w:szCs w:val="14"/>
                <w:lang w:val="uk-UA"/>
              </w:rPr>
              <w:t>Ймовірність затвердження внутрішніх організаційно-розпорядчих актів, які містять  корупціогенні  фактори, що може призвести до порушення  антикорупційного законодавства</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pacing w:val="-8"/>
                <w:sz w:val="14"/>
                <w:szCs w:val="14"/>
                <w:shd w:fill="FFFFFF" w:val="clear"/>
                <w:lang w:val="uk-UA" w:eastAsia="ru-RU"/>
              </w:rPr>
              <w:t>1.Відсутність процедури оцінки</w:t>
            </w:r>
            <w:r>
              <w:rPr>
                <w:rFonts w:ascii="Times New Roman" w:hAnsi="Times New Roman"/>
                <w:sz w:val="14"/>
                <w:szCs w:val="14"/>
                <w:lang w:val="uk-UA"/>
              </w:rPr>
              <w:t xml:space="preserve"> внутрішніх організаційно-розпорядчих актів  на наявність в них корупціогенних факторів</w:t>
            </w:r>
          </w:p>
          <w:p>
            <w:pPr>
              <w:pStyle w:val="Normal"/>
              <w:widowControl w:val="false"/>
              <w:spacing w:lineRule="auto" w:line="240" w:before="0" w:after="0"/>
              <w:ind w:left="-3" w:right="-78" w:firstLine="3"/>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3" w:right="-78" w:firstLine="3"/>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2.Можлива недоброчесність посадових осіб поліції</w:t>
            </w:r>
          </w:p>
          <w:p>
            <w:pPr>
              <w:pStyle w:val="Normal"/>
              <w:widowControl w:val="false"/>
              <w:spacing w:lineRule="auto" w:line="240" w:before="0" w:after="0"/>
              <w:ind w:left="-3" w:right="-78" w:firstLine="3"/>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3" w:right="-78" w:firstLine="3"/>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3.Недостатній рівень підготовки (обізнаності) посадових осіб поліції з питань виявлення корупціогенних факторів при підготовці проектів відомчих організаційно-розпорядчих документів  органів та підрозділів НПУ</w:t>
            </w:r>
          </w:p>
          <w:p>
            <w:pPr>
              <w:pStyle w:val="Normal"/>
              <w:widowControl w:val="false"/>
              <w:spacing w:lineRule="auto" w:line="240" w:before="0" w:after="0"/>
              <w:ind w:left="-3" w:right="-78" w:firstLine="3"/>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3" w:right="-78" w:firstLine="3"/>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3" w:right="-78" w:firstLine="3"/>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3" w:right="-78" w:firstLine="3"/>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1.Відомчий контроль керівників відповідного рівня за виконанням відповідних завдань працівниками поліції</w:t>
            </w:r>
          </w:p>
          <w:p>
            <w:pPr>
              <w:pStyle w:val="Normal"/>
              <w:widowControl w:val="false"/>
              <w:spacing w:lineRule="auto" w:line="240" w:before="0" w:after="0"/>
              <w:ind w:left="-13" w:right="-96"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13" w:right="-96" w:hanging="0"/>
              <w:rPr>
                <w:rFonts w:ascii="Times New Roman" w:hAnsi="Times New Roman" w:eastAsia="Calibri"/>
                <w:sz w:val="14"/>
                <w:szCs w:val="14"/>
                <w:lang w:val="uk-UA" w:eastAsia="uk-UA"/>
              </w:rPr>
            </w:pPr>
            <w:r>
              <w:rPr>
                <w:rFonts w:ascii="Times New Roman" w:hAnsi="Times New Roman"/>
                <w:sz w:val="14"/>
                <w:szCs w:val="14"/>
                <w:lang w:val="uk-UA" w:eastAsia="ru-RU"/>
              </w:rPr>
              <w:t xml:space="preserve">2.Дотримання діючих наказів та розпоряджень </w:t>
            </w:r>
            <w:r>
              <w:rPr>
                <w:rFonts w:eastAsia="Calibri" w:ascii="Times New Roman" w:hAnsi="Times New Roman"/>
                <w:sz w:val="14"/>
                <w:szCs w:val="14"/>
                <w:lang w:val="uk-UA" w:eastAsia="uk-UA"/>
              </w:rPr>
              <w:t>НПУ</w:t>
            </w:r>
          </w:p>
          <w:p>
            <w:pPr>
              <w:pStyle w:val="Normal"/>
              <w:widowControl w:val="false"/>
              <w:spacing w:lineRule="auto" w:line="240" w:before="0" w:after="0"/>
              <w:ind w:left="-13" w:right="-96" w:hanging="0"/>
              <w:rPr>
                <w:rFonts w:ascii="Times New Roman" w:hAnsi="Times New Roman" w:eastAsia="Calibri"/>
                <w:sz w:val="14"/>
                <w:szCs w:val="14"/>
                <w:lang w:val="uk-UA" w:eastAsia="uk-UA"/>
              </w:rPr>
            </w:pPr>
            <w:r>
              <w:rPr>
                <w:rFonts w:eastAsia="Calibri" w:ascii="Times New Roman" w:hAnsi="Times New Roman"/>
                <w:sz w:val="14"/>
                <w:szCs w:val="14"/>
                <w:lang w:val="uk-UA" w:eastAsia="uk-UA"/>
              </w:rPr>
            </w:r>
          </w:p>
          <w:p>
            <w:pPr>
              <w:pStyle w:val="Normal"/>
              <w:widowControl w:val="false"/>
              <w:spacing w:lineRule="auto" w:line="240" w:before="0" w:after="0"/>
              <w:ind w:left="-13" w:right="-96" w:hanging="0"/>
              <w:rPr>
                <w:rFonts w:ascii="Times New Roman" w:hAnsi="Times New Roman" w:eastAsia="Calibri"/>
                <w:sz w:val="14"/>
                <w:szCs w:val="14"/>
                <w:lang w:val="uk-UA" w:eastAsia="uk-UA"/>
              </w:rPr>
            </w:pPr>
            <w:r>
              <w:rPr>
                <w:rFonts w:eastAsia="Calibri" w:ascii="Times New Roman" w:hAnsi="Times New Roman"/>
                <w:sz w:val="14"/>
                <w:szCs w:val="14"/>
                <w:lang w:val="uk-UA" w:eastAsia="uk-UA"/>
              </w:rPr>
            </w:r>
          </w:p>
          <w:p>
            <w:pPr>
              <w:pStyle w:val="Normal"/>
              <w:widowControl w:val="false"/>
              <w:spacing w:lineRule="auto" w:line="240" w:before="0" w:after="0"/>
              <w:ind w:left="-13" w:right="-96" w:hanging="0"/>
              <w:rPr>
                <w:rFonts w:ascii="Times New Roman" w:hAnsi="Times New Roman" w:eastAsia="Calibri"/>
                <w:bCs/>
                <w:sz w:val="14"/>
                <w:szCs w:val="14"/>
                <w:shd w:fill="FFFFFF" w:val="clear"/>
                <w:lang w:val="uk-UA"/>
              </w:rPr>
            </w:pPr>
            <w:r>
              <w:rPr>
                <w:rFonts w:ascii="Times New Roman" w:hAnsi="Times New Roman"/>
                <w:spacing w:val="-8"/>
                <w:sz w:val="14"/>
                <w:szCs w:val="14"/>
                <w:shd w:fill="FFFFFF" w:val="clear"/>
                <w:lang w:val="uk-UA" w:eastAsia="ru-RU"/>
              </w:rPr>
              <w:t xml:space="preserve">3.Попередження працівників поліції про  відповідальність, яка настає за порушення антикорупційного законодавства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54" w:hanging="0"/>
              <w:jc w:val="center"/>
              <w:rPr>
                <w:rFonts w:ascii="Times New Roman" w:hAnsi="Times New Roman"/>
                <w:sz w:val="14"/>
                <w:szCs w:val="14"/>
                <w:lang w:val="uk-UA"/>
              </w:rPr>
            </w:pPr>
            <w:r>
              <w:rPr>
                <w:rFonts w:ascii="Times New Roman" w:hAnsi="Times New Roman"/>
                <w:sz w:val="14"/>
                <w:szCs w:val="14"/>
                <w:lang w:val="uk-UA"/>
              </w:rPr>
              <w:t>1</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08" w:hanging="0"/>
              <w:jc w:val="center"/>
              <w:rPr>
                <w:rFonts w:ascii="Times New Roman" w:hAnsi="Times New Roman"/>
                <w:sz w:val="14"/>
                <w:szCs w:val="14"/>
                <w:lang w:val="uk-UA"/>
              </w:rPr>
            </w:pPr>
            <w:r>
              <w:rPr>
                <w:rFonts w:ascii="Times New Roman" w:hAnsi="Times New Roman"/>
                <w:sz w:val="14"/>
                <w:szCs w:val="14"/>
                <w:lang w:val="uk-UA"/>
              </w:rPr>
              <w:t>1</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93" w:hanging="0"/>
              <w:jc w:val="center"/>
              <w:rPr>
                <w:rFonts w:ascii="Times New Roman" w:hAnsi="Times New Roman"/>
                <w:sz w:val="14"/>
                <w:szCs w:val="14"/>
                <w:lang w:val="uk-UA"/>
              </w:rPr>
            </w:pPr>
            <w:r>
              <w:rPr>
                <w:rFonts w:ascii="Times New Roman" w:hAnsi="Times New Roman"/>
                <w:sz w:val="14"/>
                <w:szCs w:val="14"/>
                <w:lang w:val="uk-UA"/>
              </w:rPr>
              <w:t>низ</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1.Розробка та прийняття розпорядчого акту, який урегулює процедуру оцінки внутрішніх організаційно-розпорядчих  актів на наявність причин, що можуть призвести до вчинення корупційних та пов’язаних з корупцією правопорушень</w:t>
            </w:r>
          </w:p>
          <w:p>
            <w:pPr>
              <w:pStyle w:val="Normal"/>
              <w:widowControl w:val="false"/>
              <w:spacing w:lineRule="auto" w:line="240" w:before="0" w:after="0"/>
              <w:ind w:left="-64"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64"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64"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2.Проведення додаткових навчань посадових осіб поліції із недопущення порушення антикорупційного законодавства, а також надання методичної допомоги з питань недопущення корупціогенних факторів при розробці проектів відомчих організаційно-розпорядчих документів  органів та підрозділів НПУ</w:t>
            </w:r>
          </w:p>
          <w:p>
            <w:pPr>
              <w:pStyle w:val="Normal"/>
              <w:widowControl w:val="false"/>
              <w:spacing w:lineRule="auto" w:line="240" w:before="0" w:after="0"/>
              <w:ind w:left="-64"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64"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64"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64"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3.Ознайомлення посадових осіб поліції, які залучені до розробки НПА під підпис з чек-листами типових ознак корупціогенних факторів, настановою НАЗК та методичними рекомендаціями Національної поліції з цих питань.</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31.12.22</w:t>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Постійно</w:t>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11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11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11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11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11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11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11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11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z w:val="14"/>
                <w:szCs w:val="14"/>
                <w:lang w:val="uk-UA"/>
              </w:rPr>
            </w:pPr>
            <w:r>
              <w:rPr>
                <w:rFonts w:ascii="Times New Roman" w:hAnsi="Times New Roman"/>
                <w:sz w:val="14"/>
                <w:szCs w:val="14"/>
                <w:lang w:val="uk-UA"/>
              </w:rPr>
              <w:t>У разі  розроблення відповідного акту</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УЗК ДДЗ  ПД</w:t>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УЗК</w:t>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ТОП</w:t>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129"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УЗК</w:t>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ЦА</w:t>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ТОП</w:t>
            </w:r>
          </w:p>
          <w:p>
            <w:pPr>
              <w:pStyle w:val="Normal"/>
              <w:widowControl w:val="false"/>
              <w:spacing w:lineRule="auto" w:line="240" w:before="0" w:after="0"/>
              <w:ind w:right="-129"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29"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tabs>
                <w:tab w:val="clear" w:pos="708"/>
                <w:tab w:val="left" w:pos="843" w:leader="none"/>
              </w:tabs>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Не потребує додаткових фінансових витрат</w:t>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Не потребує додаткових фінансових витрат</w:t>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6"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Не потребує додаткових фінансових витрат</w:t>
            </w:r>
          </w:p>
          <w:p>
            <w:pPr>
              <w:pStyle w:val="Normal"/>
              <w:widowControl w:val="false"/>
              <w:spacing w:lineRule="auto" w:line="240" w:before="0" w:after="0"/>
              <w:ind w:left="-87"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76"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t>Розпорядчий акт розроблено</w:t>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t>Навчання</w:t>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t>проведено</w:t>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t>(кількість навчань)</w:t>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83"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83" w:hanging="0"/>
              <w:jc w:val="center"/>
              <w:rPr>
                <w:rFonts w:ascii="Times New Roman" w:hAnsi="Times New Roman"/>
                <w:sz w:val="14"/>
                <w:szCs w:val="14"/>
                <w:lang w:val="uk-UA"/>
              </w:rPr>
            </w:pPr>
            <w:r>
              <w:rPr>
                <w:rFonts w:ascii="Times New Roman" w:hAnsi="Times New Roman"/>
                <w:sz w:val="14"/>
                <w:szCs w:val="14"/>
                <w:lang w:val="uk-UA"/>
              </w:rPr>
              <w:t>Посадових осіб поліції ознайомлено з методичними рекомендаціями</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31.12.22</w:t>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30.06.24</w:t>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118"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5" w:right="-118" w:hanging="0"/>
              <w:jc w:val="center"/>
              <w:rPr>
                <w:rFonts w:ascii="Times New Roman" w:hAnsi="Times New Roman"/>
                <w:sz w:val="14"/>
                <w:szCs w:val="14"/>
                <w:lang w:val="uk-UA"/>
              </w:rPr>
            </w:pPr>
            <w:r>
              <w:rPr>
                <w:rFonts w:ascii="Times New Roman" w:hAnsi="Times New Roman"/>
                <w:spacing w:val="-8"/>
                <w:sz w:val="14"/>
                <w:szCs w:val="14"/>
                <w:shd w:fill="FFFFFF" w:val="clear"/>
                <w:lang w:val="uk-UA" w:eastAsia="ru-RU"/>
              </w:rPr>
              <w:t>22.12.22</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42"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Розпорядчий акт розроблено (наказ НПУ від 30.12.2022 № 945 «Про затвердження Алгоритму проведення оцінки проєктів актів центрального органу управління поліції на наявність корупціогенних факторів»</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42"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 xml:space="preserve">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 зокрема, при розробці проектів відомчих організаційно-розпорядчих документів  органів та підрозділів НПУ </w:t>
            </w:r>
          </w:p>
          <w:p>
            <w:pPr>
              <w:pStyle w:val="Normal"/>
              <w:widowControl w:val="false"/>
              <w:spacing w:lineRule="auto" w:line="240" w:before="0" w:after="0"/>
              <w:ind w:left="-42"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 xml:space="preserve">ГУНП у м. Києві видано наказ від 01.02.2023            № 268 «Про затвердження Алгоритму проведення оцінки проєктів актів ГУНП                    у м. Києві на наявність корупціогенних факторів». </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44" w:hanging="0"/>
              <w:jc w:val="both"/>
              <w:rPr>
                <w:rFonts w:ascii="Times New Roman" w:hAnsi="Times New Roman"/>
                <w:sz w:val="14"/>
                <w:szCs w:val="14"/>
                <w:lang w:val="uk-UA"/>
              </w:rPr>
            </w:pPr>
            <w:r>
              <w:rPr>
                <w:rFonts w:ascii="Times New Roman" w:hAnsi="Times New Roman"/>
                <w:sz w:val="14"/>
                <w:szCs w:val="14"/>
                <w:lang w:val="uk-UA"/>
              </w:rPr>
              <w:t>Головою НПУ доручено працівникам поліції ознайомлення під підпис з чек-листами типових ознак корупціогенних факторів при розробці НПА, згідно з методичними рекомендаціями НАЗК з цих питань (доповідна УЗК НПУ від 22.12.2022 № 33937)</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2</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eastAsia="Calibri" w:ascii="Times New Roman" w:hAnsi="Times New Roman"/>
                <w:sz w:val="14"/>
                <w:szCs w:val="14"/>
                <w:lang w:val="uk-UA" w:eastAsia="uk-UA"/>
              </w:rPr>
              <w:t>II. Управління персоналом в національній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Можливість прийняття рішення в умовах конфлікту інтересів, пов’язаного з прийняттям на службу (звільненням, проходженням служби ) близькими особами</w:t>
            </w:r>
          </w:p>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Можливість приховування факту наявності приватного інтересу,  пов’язану з роботою близьких осіб у посадових осіб поліції, при прийнятті кадрових рішень</w:t>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урегульованість  організаційно-нормативних актів</w:t>
            </w:r>
          </w:p>
          <w:p>
            <w:pPr>
              <w:pStyle w:val="Normal"/>
              <w:widowControl w:val="false"/>
              <w:spacing w:lineRule="auto" w:line="240" w:before="0" w:after="0"/>
              <w:ind w:right="-7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2.Недостатня ефективність системи відомчого контролю</w:t>
            </w:r>
          </w:p>
          <w:p>
            <w:pPr>
              <w:pStyle w:val="Normal"/>
              <w:widowControl w:val="false"/>
              <w:spacing w:lineRule="auto" w:line="240" w:before="0" w:after="0"/>
              <w:ind w:right="-7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3.Можливий приватний інтерес     посадової особи поліції при прийнятті кадрового рішення</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1.Ознайомлення працівників з методичними рекомендаціями, розробленими НАЗК, УЗК, щодо запобігання та врегулювання конфлікту інтересів</w:t>
            </w:r>
          </w:p>
          <w:p>
            <w:pPr>
              <w:pStyle w:val="Normal"/>
              <w:widowControl w:val="false"/>
              <w:spacing w:lineRule="auto" w:line="240" w:before="0" w:after="0"/>
              <w:ind w:left="-13"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13" w:right="-96" w:hanging="0"/>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 xml:space="preserve">2.Проведення тренінгів із доведенням </w:t>
            </w:r>
            <w:r>
              <w:rPr>
                <w:rFonts w:eastAsia="Calibri" w:ascii="Times New Roman" w:hAnsi="Times New Roman"/>
                <w:bCs/>
                <w:sz w:val="14"/>
                <w:szCs w:val="14"/>
                <w:lang w:val="uk-UA"/>
              </w:rPr>
              <w:t>т</w:t>
            </w:r>
            <w:hyperlink r:id="rId2">
              <w:r>
                <w:rPr>
                  <w:rFonts w:eastAsia="Calibri" w:ascii="Times New Roman" w:hAnsi="Times New Roman"/>
                  <w:bCs/>
                  <w:sz w:val="14"/>
                  <w:szCs w:val="14"/>
                  <w:lang w:val="uk-UA"/>
                </w:rPr>
                <w:t>ипових ситуацій наявності потенційного чи реального конфлікту інтересів, шляхи їх вирішення,</w:t>
              </w:r>
            </w:hyperlink>
            <w:r>
              <w:rPr>
                <w:rFonts w:eastAsia="Calibri" w:ascii="Times New Roman" w:hAnsi="Times New Roman"/>
                <w:bCs/>
                <w:sz w:val="14"/>
                <w:szCs w:val="14"/>
                <w:lang w:val="uk-UA"/>
              </w:rPr>
              <w:t xml:space="preserve"> роз’яснення стосовно недопущення</w:t>
            </w:r>
            <w:r>
              <w:rPr>
                <w:rFonts w:ascii="Times New Roman" w:hAnsi="Times New Roman"/>
                <w:spacing w:val="-8"/>
                <w:sz w:val="14"/>
                <w:szCs w:val="14"/>
                <w:shd w:fill="FFFFFF" w:val="clear"/>
                <w:lang w:val="uk-UA" w:eastAsia="ru-RU"/>
              </w:rPr>
              <w:t xml:space="preserve"> порушень антикорупційного законодавства.</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54"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0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95"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t>1.Розробка механізму взаємодії уповноважених підрозділів (уповноважених осіб) з питань запобігання та виявлення корупції з кадровими підрозділами щодо контролю за недопущенням виникнення конфлікту інтересів при спільній роботі близьких осіб, прийнятті, переміщенні чи звільненні їх з роботи (ведення відповідних журналів, електронного обліку тощо) із можливістю постійного контролю за відповідними переміщеннями</w:t>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t>2. Спільна розробка з НАЗК модулю визначення (запобігання) конфлікту інтересів при спільній роботі близьких осіб, при прийнятті чи  звільненні  їх з роботи.</w:t>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t>3.Ознайомлення працівників поліції під особистий підпис з зобов’язаннями щодо повідомлення про роботу близьких осіб,</w:t>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t>про зміни у сімейному стані, у т.ч. при переміщенні по службі (із розробкою відповідних пам’яток)</w:t>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20" w:hanging="0"/>
              <w:rPr>
                <w:rFonts w:ascii="Times New Roman" w:hAnsi="Times New Roman"/>
                <w:sz w:val="14"/>
                <w:szCs w:val="14"/>
                <w:lang w:val="uk-UA"/>
              </w:rPr>
            </w:pPr>
            <w:r>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t>30.03.22</w:t>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t>30.03.22</w:t>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t xml:space="preserve">30.07.22 </w:t>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uk-UA"/>
              </w:rPr>
            </w:pPr>
            <w:r>
              <w:rPr>
                <w:rFonts w:ascii="Times New Roman" w:hAnsi="Times New Roman"/>
                <w:sz w:val="14"/>
                <w:szCs w:val="14"/>
                <w:lang w:val="uk-UA"/>
              </w:rPr>
              <w:t>Постійно</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ДГІДПЛ</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t>УЗК ДКЗ</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ЦА</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5" w:right="-129" w:hanging="0"/>
              <w:jc w:val="center"/>
              <w:rPr>
                <w:rFonts w:ascii="Times New Roman" w:hAnsi="Times New Roman"/>
                <w:sz w:val="14"/>
                <w:szCs w:val="14"/>
                <w:lang w:val="ru-RU"/>
              </w:rPr>
            </w:pPr>
            <w:r>
              <w:rPr>
                <w:rFonts w:ascii="Times New Roman" w:hAnsi="Times New Roman"/>
                <w:sz w:val="14"/>
                <w:szCs w:val="14"/>
                <w:lang w:val="uk-UA"/>
              </w:rPr>
              <w:t>ДУ</w:t>
            </w:r>
          </w:p>
          <w:p>
            <w:pPr>
              <w:pStyle w:val="Normal"/>
              <w:widowControl w:val="false"/>
              <w:spacing w:lineRule="auto" w:line="240" w:before="0" w:after="0"/>
              <w:ind w:left="-95" w:right="-12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5" w:right="-12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5" w:right="-12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ЦА</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ДУ</w:t>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87" w:right="-7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87" w:right="-7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87" w:right="-7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87" w:right="-7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87" w:right="-7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87" w:right="-7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87" w:right="-7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87" w:right="-7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102" w:hanging="0"/>
              <w:jc w:val="center"/>
              <w:rPr>
                <w:rFonts w:ascii="Times New Roman" w:hAnsi="Times New Roman"/>
                <w:sz w:val="14"/>
                <w:szCs w:val="14"/>
                <w:lang w:val="uk-UA"/>
              </w:rPr>
            </w:pPr>
            <w:r>
              <w:rPr>
                <w:rFonts w:ascii="Times New Roman" w:hAnsi="Times New Roman"/>
                <w:sz w:val="14"/>
                <w:szCs w:val="14"/>
                <w:lang w:val="uk-UA"/>
              </w:rPr>
              <w:t>Потребує додаткових фінансових витрат</w:t>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87" w:right="-7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87" w:right="-76"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t>Відповідне доручення</w:t>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t>розроблено</w:t>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t>(номер та дата наказу)</w:t>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t>Модуль створений</w:t>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75"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t>Розроблена відповідна форма</w:t>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7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75" w:hanging="0"/>
              <w:jc w:val="center"/>
              <w:rPr>
                <w:rFonts w:ascii="Times New Roman" w:hAnsi="Times New Roman"/>
                <w:sz w:val="14"/>
                <w:szCs w:val="14"/>
                <w:lang w:val="uk-UA"/>
              </w:rPr>
            </w:pPr>
            <w:r>
              <w:rPr>
                <w:rFonts w:ascii="Times New Roman" w:hAnsi="Times New Roman"/>
                <w:sz w:val="14"/>
                <w:szCs w:val="14"/>
                <w:lang w:val="uk-UA"/>
              </w:rPr>
              <w:t>Відповідні попередження проведені</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t>10.02.22</w:t>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9"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t>30.09.22</w:t>
            </w:r>
          </w:p>
          <w:p>
            <w:pPr>
              <w:pStyle w:val="Normal"/>
              <w:widowControl w:val="false"/>
              <w:spacing w:lineRule="auto" w:line="240" w:before="0" w:after="0"/>
              <w:ind w:left="-99" w:right="-109"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t>30.06.24</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44" w:hanging="0"/>
              <w:jc w:val="both"/>
              <w:rPr>
                <w:rFonts w:ascii="Times New Roman" w:hAnsi="Times New Roman"/>
                <w:sz w:val="14"/>
                <w:szCs w:val="14"/>
                <w:lang w:val="uk-UA"/>
              </w:rPr>
            </w:pPr>
            <w:r>
              <w:rPr>
                <w:rFonts w:ascii="Times New Roman" w:hAnsi="Times New Roman"/>
                <w:sz w:val="14"/>
                <w:szCs w:val="14"/>
                <w:lang w:val="uk-UA"/>
              </w:rPr>
              <w:t>З метою запобігання та врегулювання конфлікту інтересів під час конкурсу (відбору) на службу в поліцію в ДКЗ розроблено відповідну форму заяви щодо наявності близьких родичів, які працюють в Національній поліції України. Дану форму включено до Методичних рекомендацій, які направлені до органів Національної поліції України (№1568/01/122-2022 від 10.02.2022).</w:t>
            </w:r>
          </w:p>
          <w:p>
            <w:pPr>
              <w:pStyle w:val="Normal"/>
              <w:widowControl w:val="false"/>
              <w:spacing w:lineRule="auto" w:line="240" w:before="0" w:after="0"/>
              <w:ind w:left="-44" w:hanging="0"/>
              <w:jc w:val="both"/>
              <w:rPr>
                <w:rFonts w:ascii="Times New Roman" w:hAnsi="Times New Roman"/>
                <w:sz w:val="14"/>
                <w:szCs w:val="14"/>
                <w:lang w:val="uk-UA"/>
              </w:rPr>
            </w:pPr>
            <w:r>
              <w:rPr>
                <w:rFonts w:ascii="Times New Roman" w:hAnsi="Times New Roman"/>
                <w:sz w:val="14"/>
                <w:szCs w:val="14"/>
                <w:lang w:val="uk-UA"/>
              </w:rPr>
              <w:t xml:space="preserve">Протягом 1 кварталу 2023 року </w:t>
            </w:r>
          </w:p>
          <w:p>
            <w:pPr>
              <w:pStyle w:val="Normal"/>
              <w:widowControl w:val="false"/>
              <w:spacing w:lineRule="auto" w:line="240" w:before="0" w:after="0"/>
              <w:ind w:left="-44" w:hanging="0"/>
              <w:jc w:val="both"/>
              <w:rPr>
                <w:rFonts w:ascii="Times New Roman" w:hAnsi="Times New Roman"/>
                <w:sz w:val="14"/>
                <w:szCs w:val="14"/>
                <w:lang w:val="uk-UA"/>
              </w:rPr>
            </w:pPr>
            <w:r>
              <w:rPr>
                <w:rFonts w:ascii="Times New Roman" w:hAnsi="Times New Roman"/>
                <w:sz w:val="14"/>
                <w:szCs w:val="14"/>
                <w:lang w:val="uk-UA"/>
              </w:rPr>
              <w:t>призначено 6948 спеціальних перевірок відносно кандидатів на службу, з них успішно пройшли 3257 осіб. Відносно кандидатів на навчання до ЗВО призначено 707 спеціальних перевірок, з них успішно пройдено 492.</w:t>
            </w:r>
          </w:p>
          <w:p>
            <w:pPr>
              <w:pStyle w:val="Normal"/>
              <w:widowControl w:val="false"/>
              <w:spacing w:lineRule="auto" w:line="240" w:before="0" w:after="0"/>
              <w:ind w:left="-44" w:firstLine="44"/>
              <w:jc w:val="both"/>
              <w:rPr>
                <w:rFonts w:ascii="Times New Roman" w:hAnsi="Times New Roman"/>
                <w:sz w:val="14"/>
                <w:szCs w:val="14"/>
                <w:lang w:val="uk-UA"/>
              </w:rPr>
            </w:pPr>
            <w:r>
              <w:rPr>
                <w:rFonts w:ascii="Times New Roman" w:hAnsi="Times New Roman"/>
                <w:sz w:val="14"/>
                <w:szCs w:val="14"/>
                <w:lang w:val="uk-UA"/>
              </w:rPr>
              <w:t>Додатково у 2023 році ДКЗ прийнято участь у розробці анкети для проведення Департаментом внутрішньої безпеки спеціальної перевірки кандидатів</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до ДПОП «ОШБ НПУ «Лють».</w:t>
            </w:r>
          </w:p>
          <w:p>
            <w:pPr>
              <w:pStyle w:val="Normal"/>
              <w:widowControl w:val="false"/>
              <w:spacing w:lineRule="auto" w:line="240" w:before="0" w:after="0"/>
              <w:ind w:left="-44"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З метою недопущення виникнення конфлікту інтересів при спільній роботі близьких осіб, прийнятті, переміщенні  їх УЗК  розроблено додатковий механізм взаємодії антикорупційних уповноважених підрозділів з кадровими підрозділами (доповідна записка УЗК від 04.09.2023 № 32196)</w:t>
            </w:r>
          </w:p>
          <w:p>
            <w:pPr>
              <w:pStyle w:val="Normal"/>
              <w:widowControl w:val="false"/>
              <w:spacing w:lineRule="auto" w:line="240" w:before="0" w:after="0"/>
              <w:jc w:val="both"/>
              <w:rPr>
                <w:sz w:val="24"/>
                <w:szCs w:val="24"/>
                <w:lang w:val="uk-UA"/>
              </w:rPr>
            </w:pPr>
            <w:r>
              <w:rPr>
                <w:sz w:val="24"/>
                <w:szCs w:val="2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44" w:hanging="0"/>
              <w:jc w:val="both"/>
              <w:rPr>
                <w:rFonts w:ascii="Times New Roman" w:hAnsi="Times New Roman"/>
                <w:sz w:val="14"/>
                <w:szCs w:val="14"/>
                <w:lang w:val="uk-UA"/>
              </w:rPr>
            </w:pPr>
            <w:r>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№171 у надзвичайний (позаплановий) режим, відповідні пропозиції до НАЗК про створення модулю визначення (запобігання) конфлікту інтересів при спільній роботі близьких осіб, при прийнятті чи  звільненні  їх з роботи.не надавались, але для недопущення прийняття рішення в умовах конфлікту інтересів, пов’язаного з прийняттям на службу (звільненням, проходженням служби) близькими особами, у НПУ запроваджено   програмне забезпечення (ПЗ) - Бухоблік та Кадри Національної поліції під назвою - «МІА». Модуль «Кадри Національної поліції» вказаного ПЗ у вкладці «Особові справи: виправлення», вікно «додатково», містить розділ «Родичі», який постійно наповнюється актуальною інформацією вказаного Розділу про роботу близьких осіб, слугує додатковим запобіжником забезпечення дотримання вимог статті 28 Закону при призначеннях та переміщеннях на посадах працівників поліції. 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w:t>
            </w:r>
          </w:p>
          <w:p>
            <w:pPr>
              <w:pStyle w:val="Normal"/>
              <w:widowControl w:val="false"/>
              <w:spacing w:lineRule="auto" w:line="240" w:before="0" w:after="0"/>
              <w:ind w:left="-44" w:hanging="0"/>
              <w:jc w:val="both"/>
              <w:rPr>
                <w:rFonts w:ascii="Times New Roman" w:hAnsi="Times New Roman"/>
                <w:sz w:val="14"/>
                <w:szCs w:val="14"/>
                <w:lang w:val="uk-UA"/>
              </w:rPr>
            </w:pPr>
            <w:r>
              <w:rPr>
                <w:rFonts w:ascii="Times New Roman" w:hAnsi="Times New Roman"/>
                <w:sz w:val="14"/>
                <w:szCs w:val="14"/>
                <w:lang w:val="uk-UA"/>
              </w:rPr>
              <w:t>З метою розробки модулю визначення (запобігання) конфлікту інтересів при спільній роботі близьких осіб, при прийнятті чи  звільненні  їх з роботи, у НПУ створена спільна робоча група  із працівників НПУ та НАЗК (наказ НПУ від 30.12.2022 № 944)</w:t>
            </w:r>
          </w:p>
          <w:p>
            <w:pPr>
              <w:pStyle w:val="Normal"/>
              <w:widowControl w:val="false"/>
              <w:tabs>
                <w:tab w:val="clear" w:pos="708"/>
                <w:tab w:val="left" w:pos="567" w:leader="none"/>
                <w:tab w:val="left" w:pos="4422" w:leader="none"/>
              </w:tabs>
              <w:spacing w:lineRule="auto" w:line="240" w:before="0" w:after="0"/>
              <w:ind w:left="-44" w:right="34" w:hanging="62"/>
              <w:jc w:val="both"/>
              <w:rPr>
                <w:lang w:val="uk-UA" w:eastAsia="ru-RU"/>
              </w:rPr>
            </w:pPr>
            <w:r>
              <w:rPr>
                <w:rFonts w:ascii="Times New Roman" w:hAnsi="Times New Roman"/>
                <w:sz w:val="14"/>
                <w:szCs w:val="14"/>
                <w:lang w:val="uk-UA" w:eastAsia="ru-RU"/>
              </w:rPr>
              <w:t xml:space="preserve"> </w:t>
            </w:r>
            <w:r>
              <w:rPr>
                <w:rFonts w:ascii="Times New Roman" w:hAnsi="Times New Roman"/>
                <w:sz w:val="14"/>
                <w:szCs w:val="14"/>
                <w:lang w:val="uk-UA" w:eastAsia="ru-RU"/>
              </w:rPr>
              <w:t xml:space="preserve">Наразі УЗК НПУ надано концепцію розроблення та впровадження ІП «Корупція» до ДІАП із узгодженням запуску її розробки після завершення проєкту </w:t>
            </w:r>
            <w:r>
              <w:rPr>
                <w:rFonts w:ascii="Times New Roman" w:hAnsi="Times New Roman"/>
                <w:sz w:val="14"/>
                <w:szCs w:val="14"/>
                <w:lang w:eastAsia="ru-RU"/>
              </w:rPr>
              <w:t>SOCTA</w:t>
            </w:r>
            <w:r>
              <w:rPr>
                <w:rFonts w:ascii="Times New Roman" w:hAnsi="Times New Roman"/>
                <w:sz w:val="14"/>
                <w:szCs w:val="14"/>
                <w:lang w:val="uk-UA" w:eastAsia="ru-RU"/>
              </w:rPr>
              <w:t>.</w:t>
            </w:r>
            <w:r>
              <w:rPr>
                <w:lang w:val="uk-UA" w:eastAsia="ru-RU"/>
              </w:rPr>
              <w:t xml:space="preserve"> </w:t>
            </w:r>
          </w:p>
          <w:p>
            <w:pPr>
              <w:pStyle w:val="Normal"/>
              <w:widowControl w:val="false"/>
              <w:tabs>
                <w:tab w:val="clear" w:pos="708"/>
                <w:tab w:val="left" w:pos="567" w:leader="none"/>
                <w:tab w:val="left" w:pos="4288" w:leader="none"/>
              </w:tabs>
              <w:spacing w:lineRule="auto" w:line="240" w:before="0" w:after="0"/>
              <w:ind w:left="-44" w:right="34" w:hanging="62"/>
              <w:jc w:val="both"/>
              <w:rPr>
                <w:sz w:val="14"/>
                <w:szCs w:val="14"/>
                <w:lang w:val="uk-UA" w:eastAsia="ru-RU"/>
              </w:rPr>
            </w:pPr>
            <w:r>
              <w:rPr>
                <w:rFonts w:ascii="Times New Roman" w:hAnsi="Times New Roman"/>
                <w:sz w:val="14"/>
                <w:szCs w:val="14"/>
                <w:lang w:val="uk-UA" w:eastAsia="ru-RU"/>
              </w:rPr>
              <w:t xml:space="preserve"> </w:t>
            </w:r>
            <w:r>
              <w:rPr>
                <w:rFonts w:ascii="Times New Roman" w:hAnsi="Times New Roman"/>
                <w:sz w:val="14"/>
                <w:szCs w:val="14"/>
                <w:lang w:val="uk-UA" w:eastAsia="ru-RU"/>
              </w:rPr>
              <w:t>У зв’язку із проведенням дослідної експлуатації програмного забезпечення «МІА»:Документообіг» на підставі наказу НПУ від 04.07.2022 № 474, заплановано за результатом його впровадження, доповнити МІА - модулем ІП «Корупція», з метою створення надійного запобіжника недопущення розписання документів на близьких осіб.</w:t>
            </w:r>
            <w:r>
              <w:rPr>
                <w:lang w:val="uk-UA" w:eastAsia="ru-RU"/>
              </w:rPr>
              <w:t xml:space="preserve">                            </w:t>
            </w:r>
            <w:r>
              <w:rPr>
                <w:rFonts w:ascii="Times New Roman" w:hAnsi="Times New Roman"/>
                <w:sz w:val="14"/>
                <w:szCs w:val="14"/>
                <w:lang w:val="uk-UA" w:eastAsia="ru-RU"/>
              </w:rPr>
              <w:t xml:space="preserve">Водночас, у зв’язку із відсутністю технічної можливості інтегрування ІП Корупція з МІА «Документообіг», виконання вказаного заходу забезпечено шляхом наповнення Модулю «Кадри Національної поліції» програмного забезпечення «МІА» відомостями про роботу близьких осіб з перспективою подальшого інтегрування із  програмним забезпечення «МІА»: Документообіг» задля </w:t>
            </w:r>
            <w:r>
              <w:rPr>
                <w:rFonts w:ascii="Times New Roman" w:hAnsi="Times New Roman"/>
                <w:spacing w:val="-8"/>
                <w:sz w:val="14"/>
                <w:szCs w:val="14"/>
                <w:shd w:fill="FFFFFF" w:val="clear"/>
                <w:lang w:val="uk-UA" w:eastAsia="ru-RU"/>
              </w:rPr>
              <w:t xml:space="preserve">визначення (запобігання) конфлікту інтересів </w:t>
            </w:r>
            <w:r>
              <w:rPr>
                <w:rFonts w:ascii="Times New Roman" w:hAnsi="Times New Roman"/>
                <w:sz w:val="14"/>
                <w:szCs w:val="14"/>
                <w:lang w:val="uk-UA" w:eastAsia="ru-RU"/>
              </w:rPr>
              <w:t>(порівняння посадових обов’язків), близьких осіб (реєстр: повідомлень, урегулювань, роботи близьких осіб) тощо.</w:t>
            </w:r>
          </w:p>
          <w:p>
            <w:pPr>
              <w:pStyle w:val="Normal"/>
              <w:widowControl w:val="false"/>
              <w:tabs>
                <w:tab w:val="clear" w:pos="708"/>
                <w:tab w:val="left" w:pos="567" w:leader="none"/>
                <w:tab w:val="left" w:pos="4288" w:leader="none"/>
              </w:tabs>
              <w:spacing w:lineRule="auto" w:line="240" w:before="0" w:after="0"/>
              <w:ind w:left="-44" w:right="34" w:hanging="0"/>
              <w:jc w:val="both"/>
              <w:rPr>
                <w:rStyle w:val="Hyperlink"/>
                <w:rFonts w:ascii="Times New Roman" w:hAnsi="Times New Roman"/>
                <w:color w:val="auto"/>
                <w:sz w:val="14"/>
                <w:szCs w:val="14"/>
                <w:lang w:val="ru-RU" w:eastAsia="ru-RU"/>
              </w:rPr>
            </w:pPr>
            <w:r>
              <w:rPr>
                <w:rFonts w:ascii="Times New Roman" w:hAnsi="Times New Roman"/>
                <w:sz w:val="14"/>
                <w:szCs w:val="14"/>
                <w:lang w:val="uk-UA" w:eastAsia="ru-RU"/>
              </w:rPr>
              <w:t xml:space="preserve">До діджиталізації вказаних процесів на виконання доручення Голови Національної поліції здійснюється облік роботи близьких осіб у форматі </w:t>
            </w:r>
            <w:r>
              <w:rPr>
                <w:rFonts w:ascii="Times New Roman" w:hAnsi="Times New Roman"/>
                <w:sz w:val="14"/>
                <w:szCs w:val="14"/>
                <w:lang w:eastAsia="ru-RU"/>
              </w:rPr>
              <w:t>Exel</w:t>
            </w:r>
            <w:r>
              <w:rPr>
                <w:rFonts w:ascii="Times New Roman" w:hAnsi="Times New Roman"/>
                <w:sz w:val="14"/>
                <w:szCs w:val="14"/>
                <w:lang w:val="uk-UA" w:eastAsia="ru-RU"/>
              </w:rPr>
              <w:t xml:space="preserve">. </w:t>
            </w:r>
            <w:r>
              <w:rPr>
                <w:rFonts w:ascii="Times New Roman" w:hAnsi="Times New Roman"/>
                <w:sz w:val="14"/>
                <w:szCs w:val="14"/>
                <w:lang w:val="ru-RU" w:eastAsia="ru-RU"/>
              </w:rPr>
              <w:t>З подальшим виданням розпорядчих документів про недопущення виникнення конфлікту інтересів у діяльності близьких осіб.</w:t>
            </w:r>
          </w:p>
          <w:p>
            <w:pPr>
              <w:pStyle w:val="Normal"/>
              <w:widowControl w:val="false"/>
              <w:tabs>
                <w:tab w:val="clear" w:pos="708"/>
                <w:tab w:val="left" w:pos="567" w:leader="none"/>
                <w:tab w:val="left" w:pos="4422" w:leader="none"/>
              </w:tabs>
              <w:spacing w:lineRule="auto" w:line="240" w:before="0" w:after="0"/>
              <w:ind w:right="34" w:hanging="62"/>
              <w:jc w:val="both"/>
              <w:rPr>
                <w:rFonts w:ascii="Times New Roman" w:hAnsi="Times New Roman"/>
                <w:sz w:val="14"/>
                <w:szCs w:val="14"/>
                <w:lang w:val="ru-RU" w:eastAsia="ru-RU"/>
              </w:rPr>
            </w:pPr>
            <w:r>
              <w:rPr>
                <w:rFonts w:ascii="Times New Roman" w:hAnsi="Times New Roman"/>
                <w:sz w:val="14"/>
                <w:szCs w:val="14"/>
                <w:lang w:val="ru-RU" w:eastAsia="ru-RU"/>
              </w:rPr>
            </w:r>
          </w:p>
          <w:p>
            <w:pPr>
              <w:pStyle w:val="Normal"/>
              <w:widowControl w:val="false"/>
              <w:spacing w:lineRule="auto" w:line="240" w:before="0" w:after="0"/>
              <w:jc w:val="both"/>
              <w:rPr>
                <w:rFonts w:ascii="Times New Roman" w:hAnsi="Times New Roman"/>
                <w:sz w:val="14"/>
                <w:szCs w:val="14"/>
                <w:lang w:val="uk-UA" w:eastAsia="ru-RU"/>
              </w:rPr>
            </w:pPr>
            <w:r>
              <w:rPr>
                <w:rFonts w:ascii="Times New Roman" w:hAnsi="Times New Roman"/>
                <w:sz w:val="14"/>
                <w:szCs w:val="14"/>
                <w:lang w:val="uk-UA" w:eastAsia="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Розроблена відповідна форма. заяви- повідомлення (пам’ятка) працівниками поліції щодо наявності (відсутності) у них близьких родичів, які працюють в Національній поліції України. (доповідна УЗК від 30.09.2022 № 24819), згідно якої працівники поліції ознайомлюються та повідомляють щодо повідомлення про роботу близьких осіб, про зміни у сімейному стані, у т.ч. при переміщенні по службі.</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УЗК підготовлена та розіслана до підрозділів НПУ доповідна записка про необхідність  контролю за внесенням до ІПЗ «МІА» своєчасну інформацію про роботу близьких осіб при призначенні (переміщенні) на посади (доручення Голови НПУ від 04.09.2023 №32196)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3</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eastAsia="Calibri" w:ascii="Times New Roman" w:hAnsi="Times New Roman"/>
                <w:sz w:val="14"/>
                <w:szCs w:val="14"/>
                <w:lang w:val="uk-UA" w:eastAsia="uk-UA"/>
              </w:rPr>
              <w:t>II. Управління персоналом в національній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зловживання з боку посадових осіб поліції при здійсненні  контроля та перевірки діяльності підпорядкованих територіальних органів Національної поліції, а також підприємств, установ та організацій, що належать до сфери управління НПУ</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Можливість задоволення посадовими особами поліції приватного інтересу свого або на користь третіх осіб під час  здійсненні  контроля та перевірки діяльності підпорядкованих територіальних органів Національної поліції, а також підприємств, установ та організацій, що належать до сфери управління НПУ</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1.Недоброчесність  посадових осіб поліції,  зловживання службовим становищем</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2.Недостатня ефективність системи відомчого контролю</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1.Моніторінг здійснення відповідними посадовими особами підрозділів контрольних заходів стосовно підпорядкованих територіальних органів національної поліції, а також підприємств, установ та організацій, що належать до сфери управління НПУ</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2.Підготувати доручення відповідним керівникам щодо  вибіркового вивчення матеріалів перевірок</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3.Розробка пам’ятки щодо дотримання порядку  організації та проведення перевірок службової діяльності органів (підрозділів) Національної поліції, згідно вимог наказу МВС України від 30.01.2017, зареєстрованого в Мінюсті 03.03.2017 №304/30172</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30.11.22</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 xml:space="preserve">ДКЗ ДВБ </w:t>
            </w:r>
            <w:r>
              <w:rPr>
                <w:rFonts w:ascii="Times New Roman" w:hAnsi="Times New Roman"/>
                <w:sz w:val="12"/>
                <w:szCs w:val="12"/>
                <w:lang w:val="uk-UA"/>
              </w:rPr>
              <w:t>ДГІДПЛ</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УЗК ЦА 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 xml:space="preserve">ДКЗ ДВБ </w:t>
            </w:r>
            <w:r>
              <w:rPr>
                <w:rFonts w:ascii="Times New Roman" w:hAnsi="Times New Roman"/>
                <w:sz w:val="12"/>
                <w:szCs w:val="12"/>
                <w:lang w:val="uk-UA"/>
              </w:rPr>
              <w:t>ДГІДПЛ</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УЗК ЦА 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5" w:right="-129" w:hanging="0"/>
              <w:jc w:val="center"/>
              <w:rPr>
                <w:rFonts w:ascii="Times New Roman" w:hAnsi="Times New Roman"/>
                <w:sz w:val="12"/>
                <w:szCs w:val="12"/>
                <w:lang w:val="uk-UA"/>
              </w:rPr>
            </w:pPr>
            <w:r>
              <w:rPr>
                <w:rFonts w:ascii="Times New Roman" w:hAnsi="Times New Roman"/>
                <w:sz w:val="12"/>
                <w:szCs w:val="12"/>
                <w:lang w:val="uk-UA"/>
              </w:rPr>
              <w:t>ДГІДПЛ</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 xml:space="preserve"> </w:t>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t>Відповідний моніторинг запроваджено</w:t>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t>Відповідний моніторинг запроваджено</w:t>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t>Розроблено пам’ятку</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t>01.07.22</w:t>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08.12.22</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5" w:right="-110" w:hanging="0"/>
              <w:jc w:val="center"/>
              <w:rPr>
                <w:rFonts w:ascii="Times New Roman" w:hAnsi="Times New Roman"/>
                <w:sz w:val="14"/>
                <w:szCs w:val="14"/>
                <w:lang w:val="uk-UA"/>
              </w:rPr>
            </w:pPr>
            <w:r>
              <w:rPr>
                <w:rFonts w:ascii="Times New Roman" w:hAnsi="Times New Roman"/>
                <w:sz w:val="14"/>
                <w:szCs w:val="14"/>
                <w:lang w:val="uk-UA"/>
              </w:rPr>
              <w:t>виконано</w:t>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Відповідний моніторинг запроваджено у т.ч. особовим складом територіальних підрозділів ДВБ заходів щодо контролю та перевірок діяльності об’єктів оперативного обслуговування, з метою встановлення обґрунтованості та достовірності результатів таких перевірок. У ВКОЗ НПУ здійснюється контроль за проведенням перевірок  посадовими особами стосовно підпорядкованих територіальних органів національної поліції.</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z w:val="14"/>
                <w:szCs w:val="14"/>
                <w:lang w:val="uk-UA"/>
              </w:rPr>
              <w:t>Відповідно до п. 1.2. Плану основних заходів ДОС НПУ №528дск/17 від 01.07.2022 організовано виїзд у службові відрядження до УОС областей та м. Києва з метою надання організаційної, методичної, практичної допомоги та перевірки службової діяльності, здійснення контрольних заходів стосовно підпорядкованих підрозділів.</w:t>
            </w:r>
            <w:r>
              <w:rPr>
                <w:spacing w:val="-8"/>
                <w:shd w:fill="FFFFFF" w:val="clear"/>
                <w:lang w:val="uk-UA" w:eastAsia="ru-RU"/>
              </w:rPr>
              <w:t xml:space="preserve"> </w:t>
            </w:r>
            <w:r>
              <w:rPr>
                <w:rFonts w:ascii="Times New Roman" w:hAnsi="Times New Roman"/>
                <w:spacing w:val="-8"/>
                <w:sz w:val="14"/>
                <w:szCs w:val="14"/>
                <w:shd w:fill="FFFFFF" w:val="clear"/>
                <w:lang w:val="uk-UA" w:eastAsia="ru-RU"/>
              </w:rPr>
              <w:t>З початку 2023 року здійснено більше 90 перевірок  територіальних (відокремлених) підрозділів у областях та м. Києві щодо дотримання поліцейськими норм законодавства у роботі, порядку ведення єдиного обліку, дотримання адміністративно-правозастосовної діяльності, виконання заходів підтримки та контролю, в тому числі державних установ, перевірка за зверненнями, скаргами.  За результатами перевірок підготовлені відповідні довідки.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доручення розроблені. У другому півріччі 2022 року працівниками ДКЗ та ДВБ розпочаті та проводяться комплексні перевірки поточного стану службової діяльності підрозділів поліції у ряді областей. В межах перевірок передбачено здійснення порівняльних оцінок результатів проведення таких перевірок мобільними групами апарату ДВБ із результатами перевірок відповідного територіального підрозділу ДВБ. На кінець вересня 2022 року такі заходи вже проведені в місті Києві, Вінницькій, Дніпропетровській, Київській, Кіровоградській та Одеській областях.</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bCs/>
                <w:sz w:val="14"/>
                <w:szCs w:val="14"/>
                <w:lang w:val="uk-UA"/>
              </w:rPr>
              <w:t>Відповідне д</w:t>
            </w:r>
            <w:r>
              <w:rPr>
                <w:rFonts w:ascii="Times New Roman" w:hAnsi="Times New Roman"/>
                <w:spacing w:val="-8"/>
                <w:sz w:val="14"/>
                <w:szCs w:val="14"/>
                <w:shd w:fill="FFFFFF" w:val="clear"/>
                <w:lang w:val="uk-UA" w:eastAsia="ru-RU"/>
              </w:rPr>
              <w:t>оручення Національної поліції України підготовлено (від 17.01.2023 №</w:t>
            </w:r>
            <w:r>
              <w:rPr>
                <w:rFonts w:ascii="Times New Roman" w:hAnsi="Times New Roman"/>
                <w:spacing w:val="-8"/>
                <w:sz w:val="14"/>
                <w:szCs w:val="14"/>
                <w:shd w:fill="FFFFFF" w:val="clear"/>
                <w:lang w:eastAsia="ru-RU"/>
              </w:rPr>
              <w:t> </w:t>
            </w:r>
            <w:r>
              <w:rPr>
                <w:rFonts w:ascii="Times New Roman" w:hAnsi="Times New Roman"/>
                <w:spacing w:val="-8"/>
                <w:sz w:val="14"/>
                <w:szCs w:val="14"/>
                <w:shd w:fill="FFFFFF" w:val="clear"/>
                <w:lang w:val="uk-UA" w:eastAsia="ru-RU"/>
              </w:rPr>
              <w:t>442/01/15-2023 «Про організацію та проведення перевірок службової діяльності органів (підрозділів) поліції»)</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Відповідна пам’ятка розроблена (лист ДВБ від 08.12.2022 № 13632/42-01/02-22)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Додатково розроблена Інструкція ДГІ (від 17.01.2023 № 442/01/15-2023) щодо виконання змін до Інструкції з організації та проведення перевірок службової діяльності органів (підрозділів) НПУ, затвердженної наказом МВС від 05.12.2023 № 796.</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4</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здійснення фінансового контролю та проведення спеціальних перевірок</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вчинення поліцейськими  адміністративного правопорушення пов’язаного з корупцією при здійсненні ними іншої оплачуваної діяльності, що порушує законодавчі обмеження сумісництва та суміщення</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Можливість вчинення адміністративного правопорушення, пов’язаного з корупцією при здійсненні поліцейським іншої оплачуваної діяльності, а саме порушення обмежень щодо сумісництва та суміщення, встановлених ст. 66 Закону України  «Про Національну поліцію», що не співпадає з вимогами ст. 25 Закону України  «Про запобігання корупції» щодо недопущення порушень обмежень щодо сумісництва та суміщення з іншими видами діяльності</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 Законодавча неврегульованість</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 Недостатня ефективність системи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 Можлива необізнаність працівників поліції щодо вимог антикорупційного законодавства</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1.Ознайомлення працівників з вимогами Закону України  «Про запобігання корупції» щодо недопущення порушень обмежень щодо сумісництва та суміщення з іншими видами діяльності та Закону України  «Про Національну поліцію» щодо службового сумісництва поліцейських та звільнення зі служби в поліції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 НПУ розроблені та доведені до працівників поліції методичні рекомендації, з недопущення поліцейськими порушень обмежень щодо сумісництва та суміщення</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1.З метою виправлення норми що сприяє (може сприяти) вчиненню адміністративного правопорушення пов’язаного з корупцією при здійсненні поліцейськими іншої оплачуваної діяльності - надати пропозиції МВС,  про внесення змін до ст. 66 Закону України  «Про Національну поліцію» щодо приведення її у відповідність з вимогами антикорупційного законодавства</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2.Проведення додаткових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30.04.22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ПД</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ЦА</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ДУ</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t>Відповідні   пропозиції про внесення змін до            ст. 66 Закону України  «Про Національну поліцію» надані.</w:t>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t>Кількість  проведених тренінгів</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t>10.01.22</w:t>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t>30.06.24</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пропозиції до законопроектів               № 6450 від 20.12.2021 та № 6450-1 від 24.12.2021 про внесення змін до  ст. 66 Закону України  «Про Національну поліцію» Закону про внесення зміни до статті 66 Закону України "Про Національну поліцію" щодо службового сумісництва поліцейських» надані. (лист УЗК НПУ від 10.01.2022 № 17/47-1-2022)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Згідно наказу НПУ від 21.12.2021              № 1057 організовано післядипломну освіту для 5000 поліцейських, під час проведення якої ними вивчалась тема «Антикорупційне законодавство. Корупція: поняття, запобігання та відповідальність.</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Проведено ознайомлення працівників поліції із роз’ясненням НАЗК № 6 від 14.03.2022 «Щодо застосування окремих положень ЗУ «Про запобігання корупції» стосовно дотримання обмежень щодо запобігання корупції під час участі у обороні України»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Станом на 01.09.2022 для поліцейських яких уперше прийнято на службу в поліцію, організовано відповідно до Стандарту професійної освіти робітничої професії «Поліцейський» вивчення навчального предмета «Антикорупційне законодавство» (11821 чоловік).</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Протягом 1 кварталу 2023 року забезпечено вивчення предмету «Антикорупційне законодавство» 3326 поліцейськими в рамках програми первинної професійної підготовки поліцейських.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Запроваджено практику перевірки за обліками та інформацією відповідно до сайту YouControl та  OpenDataBot щодо наявності або відсутності корпоративних прав у працівників, які мали намір щодо призначення, переведення або переміщення у посадах</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Крім того, типовими навчально-тематичними планами підвищення кваліфікації та спеціалізації всіх категорій поліцейських передбачено вивчення антикорупційних питань. Так  з початку 2023 року підвищення кваліфікації та спеціалізації  пройшли більше 12 тисяч поліцейських. </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tc>
      </w:tr>
      <w:tr>
        <w:trPr>
          <w:trHeight w:val="558"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5</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здійснення фінансового контролю та проведення спеціальних перевірок</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зловживань з боку посадових осіб поліції, які мають повноваження на внесення подань в порядку ч. 3 ст. 65- 1 Закону України «Про запобігання корупції», владою або службовим становищем при реалізації такого права всупереч вимогам антикорупційного законодавства та без урахування повноважень, визначених Законом України «Про Національну поліцію»</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4" w:right="-90" w:hanging="0"/>
              <w:rPr>
                <w:rFonts w:ascii="Times New Roman" w:hAnsi="Times New Roman"/>
                <w:sz w:val="14"/>
                <w:szCs w:val="14"/>
                <w:lang w:val="uk-UA"/>
              </w:rPr>
            </w:pPr>
            <w:r>
              <w:rPr>
                <w:rFonts w:ascii="Times New Roman" w:hAnsi="Times New Roman"/>
                <w:sz w:val="14"/>
                <w:szCs w:val="14"/>
                <w:lang w:val="uk-UA"/>
              </w:rPr>
              <w:t>Посадові особи поліції використовуючи владні повноваження можуть зловживати  повноваженнями на внесення подань в порядку ч. 3 ст. 65- 1 Закону України «Про запобігання корупції», владою або службовим становищем при реалізації такого права всупереч вимогам антикорупційного законодавства та без урахування повноважень, визначених Законом України «Про Національну поліцію»</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1.Відсутність локальних актів, які регулюють зазначені правовідносини</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посадових осіб поліції,  зловживання службовим становищем</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3.Недостатня ефективність системи відомчого контролю</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2.Проводяться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1.Підготовка методичних рекомендацій з питань застосування працівниками поліції ч. 3 ст. 65-1 Закону України  «Про запобігання корупції»</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2.Додатково попереджати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29" w:hanging="0"/>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t>Відповідні методичні рекомендації розроблені</w:t>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5" w:hanging="0"/>
              <w:jc w:val="center"/>
              <w:rPr>
                <w:rFonts w:ascii="Times New Roman" w:hAnsi="Times New Roman"/>
                <w:sz w:val="14"/>
                <w:szCs w:val="14"/>
                <w:lang w:val="uk-UA"/>
              </w:rPr>
            </w:pPr>
            <w:r>
              <w:rPr>
                <w:rFonts w:ascii="Times New Roman" w:hAnsi="Times New Roman"/>
                <w:sz w:val="14"/>
                <w:szCs w:val="14"/>
                <w:lang w:val="uk-UA"/>
              </w:rPr>
              <w:t>Відповідні попередження проведені</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26.07.22</w:t>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t>30.06.24</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tabs>
                <w:tab w:val="clear" w:pos="708"/>
                <w:tab w:val="left" w:pos="4422" w:leader="none"/>
              </w:tabs>
              <w:spacing w:lineRule="auto" w:line="240" w:before="0" w:after="0"/>
              <w:ind w:left="-62" w:hanging="0"/>
              <w:jc w:val="both"/>
              <w:rPr>
                <w:rFonts w:ascii="Times New Roman" w:hAnsi="Times New Roman"/>
                <w:spacing w:val="-8"/>
                <w:sz w:val="14"/>
                <w:szCs w:val="14"/>
                <w:shd w:fill="FFFFFF" w:val="clear"/>
                <w:lang w:val="uk-UA" w:eastAsia="ru-RU"/>
              </w:rPr>
            </w:pPr>
            <w:r>
              <w:rPr>
                <w:rFonts w:ascii="Times New Roman" w:hAnsi="Times New Roman"/>
                <w:sz w:val="14"/>
                <w:szCs w:val="14"/>
                <w:lang w:val="uk-UA"/>
              </w:rPr>
              <w:t xml:space="preserve">Відповідні методичні рекомендації (роз’яснення) щодо застосування положень ст. 65-1 Закону України «Про запобігання корупції» були розроблені та доведені до особового складу НПУ (листом від 26.07.2022  </w:t>
            </w:r>
            <w:r>
              <w:rPr>
                <w:rFonts w:ascii="Times New Roman" w:hAnsi="Times New Roman"/>
                <w:bCs/>
                <w:sz w:val="14"/>
                <w:szCs w:val="14"/>
                <w:lang w:val="uk-UA"/>
              </w:rPr>
              <w:t>№ 7414/42-08/01-22)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Style w:val="Hyperlink"/>
                <w:rFonts w:ascii="Times New Roman" w:hAnsi="Times New Roman"/>
                <w:color w:val="auto"/>
                <w:spacing w:val="-8"/>
                <w:sz w:val="14"/>
                <w:szCs w:val="14"/>
                <w:u w:val="none"/>
                <w:shd w:fill="FFFFFF" w:val="clear"/>
                <w:lang w:val="uk-UA" w:eastAsia="ru-RU"/>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w:t>
            </w:r>
            <w:r>
              <w:rPr>
                <w:rStyle w:val="Hyperlink"/>
                <w:rFonts w:ascii="Times New Roman" w:hAnsi="Times New Roman"/>
                <w:color w:val="000000"/>
                <w:spacing w:val="-8"/>
                <w:sz w:val="14"/>
                <w:szCs w:val="14"/>
                <w:u w:val="none"/>
                <w:shd w:fill="FFFFFF" w:val="clear"/>
                <w:lang w:val="uk-UA" w:eastAsia="ru-RU"/>
              </w:rPr>
              <w:t xml:space="preserve"> </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eastAsia="Cambria Math"/>
                <w:kern w:val="2"/>
                <w:sz w:val="14"/>
                <w:szCs w:val="14"/>
                <w:lang w:val="uk-UA" w:eastAsia="ru-RU"/>
              </w:rPr>
            </w:pPr>
            <w:r>
              <w:rPr>
                <w:rFonts w:ascii="Times New Roman" w:hAnsi="Times New Roman"/>
                <w:spacing w:val="-8"/>
                <w:sz w:val="14"/>
                <w:szCs w:val="14"/>
                <w:shd w:fill="FFFFFF" w:val="clear"/>
                <w:lang w:val="uk-UA" w:eastAsia="ru-RU"/>
              </w:rPr>
              <w:t xml:space="preserve">З метою посилення виконання заходів                                    по дотриманню дисципліни та законності                                     у т.ч. антикорупційного законодавства працівниками поліції, </w:t>
            </w:r>
            <w:r>
              <w:rPr>
                <w:rFonts w:eastAsia="Cambria Math" w:ascii="Times New Roman" w:hAnsi="Times New Roman"/>
                <w:kern w:val="2"/>
                <w:sz w:val="14"/>
                <w:szCs w:val="14"/>
                <w:lang w:val="uk-UA" w:eastAsia="ru-RU"/>
              </w:rPr>
              <w:t>Головою НПУ надано відповідне доручення керівникам підрозділів поліції (№ СЕД-8994/01-2023 від 05.12.2023)</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6</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здійснення фінансового контролю та проведення спеціальних перевірок</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отримання неправомірної вигоди посадовими особами поліції  за  неповідомлення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Працівники уповноважених підрозділів поліції з питань запобігання та виявлення корупції,  володіючи інформацією про факти неподання чи несвоєчасного подання декларацій осіб, уповноважених на виконання функцій держави або місцевого самоврядування працівниками поліції, маючи приватний інтерес можуть не надіслати до НАЗК відповідні повідомлення</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ефективність системи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посадової особи, яка проводить відповідну перевірку</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3.Приватний інтерес посадових осіб</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1.Визначено осіб,  відповідальних за перевірку декларацій, у тому числі з числа безпосередніх керівників працівників поліції.</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ого законодавства</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1</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низ</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 З метою автоматичного визначення осіб які не подали чи несвоєчасно подали декларації осіб, уповноважених на виконання функцій держави або місцевого самоврядування надати пропозиції до НАЗК про створення модулю для фільтрування своєчасності подання декларацій та повідомлень  до НАЗК, з внесенням змін до Рішення НАЗК від 06.09.2016 № 19</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2.Розробка пам’ятки щодо порядку своєчасного 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 суб’єктами декларування, згідно вимог Рішення НАЗК від 06.09.2016 №19</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3.Проведення додаткових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30.04.22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30.05.22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ПД</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ЦА</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ДУ</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t>Відповідні пропозиції щодо створення модулю для фільтрування своєчасності подання декларацій та повідомлень  до НАЗК надані</w:t>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t>Пам’ятку розроблено</w:t>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1" w:hanging="0"/>
              <w:jc w:val="center"/>
              <w:rPr>
                <w:rFonts w:ascii="Times New Roman" w:hAnsi="Times New Roman"/>
                <w:sz w:val="14"/>
                <w:szCs w:val="14"/>
                <w:lang w:val="uk-UA"/>
              </w:rPr>
            </w:pPr>
            <w:r>
              <w:rPr>
                <w:rFonts w:ascii="Times New Roman" w:hAnsi="Times New Roman"/>
                <w:sz w:val="14"/>
                <w:szCs w:val="14"/>
                <w:lang w:val="uk-UA"/>
              </w:rPr>
              <w:t>Кількість проведених тренінгів із переліком типових ситуацій порушення антикорупційного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t>31.12.22</w:t>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t>30.09.22</w:t>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1"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2" w:hanging="0"/>
              <w:jc w:val="center"/>
              <w:rPr>
                <w:rFonts w:ascii="Times New Roman" w:hAnsi="Times New Roman"/>
                <w:sz w:val="14"/>
                <w:szCs w:val="14"/>
                <w:lang w:val="uk-UA"/>
              </w:rPr>
            </w:pPr>
            <w:r>
              <w:rPr>
                <w:rFonts w:ascii="Times New Roman" w:hAnsi="Times New Roman"/>
                <w:sz w:val="14"/>
                <w:szCs w:val="14"/>
                <w:lang w:val="uk-UA"/>
              </w:rPr>
              <w:t>30.06.24</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метою розробки модулю для фільтрування своєчасності подання декларацій та повідомлень, у НПУ створена спільна робоча група  із працівників НПУ та НАЗК (наказ НПУ від 30.12.2022 № 943)</w:t>
            </w:r>
          </w:p>
          <w:p>
            <w:pPr>
              <w:pStyle w:val="Normal"/>
              <w:widowControl w:val="false"/>
              <w:tabs>
                <w:tab w:val="clear" w:pos="708"/>
                <w:tab w:val="left" w:pos="9940" w:leader="none"/>
              </w:tabs>
              <w:spacing w:lineRule="auto" w:line="240" w:before="0" w:after="0"/>
              <w:ind w:left="69" w:hanging="0"/>
              <w:jc w:val="both"/>
              <w:rPr>
                <w:rFonts w:ascii="Times New Roman" w:hAnsi="Times New Roman"/>
                <w:bCs/>
                <w:sz w:val="14"/>
                <w:szCs w:val="14"/>
                <w:lang w:val="uk-UA"/>
              </w:rPr>
            </w:pPr>
            <w:r>
              <w:rPr>
                <w:rFonts w:ascii="Times New Roman" w:hAnsi="Times New Roman"/>
                <w:bCs/>
                <w:sz w:val="14"/>
                <w:szCs w:val="14"/>
                <w:lang w:val="uk-UA"/>
              </w:rPr>
              <w:t>У НПУ  з метою перевірки факту подання суб’єктами декларування декларацій та повідомлення НАЗК про випадки неподання чи несвоєчасного подання таких декларацій підготовлені відповідні накази:</w:t>
            </w:r>
          </w:p>
          <w:p>
            <w:pPr>
              <w:pStyle w:val="Normal"/>
              <w:widowControl w:val="false"/>
              <w:tabs>
                <w:tab w:val="clear" w:pos="708"/>
                <w:tab w:val="left" w:pos="9940" w:leader="none"/>
              </w:tabs>
              <w:spacing w:lineRule="auto" w:line="240" w:before="0" w:after="0"/>
              <w:jc w:val="both"/>
              <w:rPr>
                <w:rFonts w:ascii="Times New Roman" w:hAnsi="Times New Roman"/>
                <w:b/>
                <w:b/>
                <w:bCs/>
                <w:i/>
                <w:i/>
                <w:sz w:val="14"/>
                <w:szCs w:val="14"/>
                <w:lang w:val="uk-UA"/>
              </w:rPr>
            </w:pPr>
            <w:r>
              <w:rPr>
                <w:rFonts w:ascii="Times New Roman" w:hAnsi="Times New Roman"/>
                <w:bCs/>
                <w:sz w:val="14"/>
                <w:szCs w:val="14"/>
                <w:lang w:val="uk-UA"/>
              </w:rPr>
              <w:t xml:space="preserve">     </w:t>
            </w:r>
            <w:r>
              <w:rPr>
                <w:rFonts w:ascii="Times New Roman" w:hAnsi="Times New Roman"/>
                <w:bCs/>
                <w:sz w:val="14"/>
                <w:szCs w:val="14"/>
                <w:lang w:val="uk-UA"/>
              </w:rPr>
              <w:t xml:space="preserve">за 2021та 2022 рік – наказ НПУ від 19.10.2023 </w:t>
            </w:r>
            <w:r>
              <w:rPr>
                <w:rFonts w:ascii="Times New Roman" w:hAnsi="Times New Roman"/>
                <w:b/>
                <w:bCs/>
                <w:i/>
                <w:sz w:val="14"/>
                <w:szCs w:val="14"/>
                <w:lang w:val="uk-UA"/>
              </w:rPr>
              <w:t>№ 956</w:t>
            </w:r>
          </w:p>
          <w:p>
            <w:pPr>
              <w:pStyle w:val="Normal"/>
              <w:widowControl w:val="false"/>
              <w:tabs>
                <w:tab w:val="clear" w:pos="708"/>
                <w:tab w:val="left" w:pos="9940" w:leader="none"/>
              </w:tabs>
              <w:spacing w:lineRule="auto" w:line="240" w:before="0" w:after="0"/>
              <w:jc w:val="both"/>
              <w:rPr>
                <w:rFonts w:ascii="Times New Roman" w:hAnsi="Times New Roman"/>
                <w:b/>
                <w:b/>
                <w:bCs/>
                <w:i/>
                <w:i/>
                <w:sz w:val="14"/>
                <w:szCs w:val="14"/>
                <w:lang w:val="uk-UA"/>
              </w:rPr>
            </w:pPr>
            <w:r>
              <w:rPr>
                <w:rFonts w:ascii="Times New Roman" w:hAnsi="Times New Roman"/>
                <w:bCs/>
                <w:sz w:val="14"/>
                <w:szCs w:val="14"/>
                <w:lang w:val="uk-UA"/>
              </w:rPr>
              <w:t xml:space="preserve">     </w:t>
            </w:r>
            <w:r>
              <w:rPr>
                <w:rFonts w:ascii="Times New Roman" w:hAnsi="Times New Roman"/>
                <w:bCs/>
                <w:sz w:val="14"/>
                <w:szCs w:val="14"/>
                <w:lang w:val="uk-UA"/>
              </w:rPr>
              <w:t xml:space="preserve">за 2023 рік – наказ НПУ від 05.02.2024                 </w:t>
            </w:r>
            <w:r>
              <w:rPr>
                <w:rFonts w:ascii="Times New Roman" w:hAnsi="Times New Roman"/>
                <w:b/>
                <w:bCs/>
                <w:i/>
                <w:sz w:val="14"/>
                <w:szCs w:val="14"/>
                <w:lang w:val="uk-UA"/>
              </w:rPr>
              <w:t>№ 123</w:t>
            </w:r>
          </w:p>
          <w:p>
            <w:pPr>
              <w:pStyle w:val="Normal"/>
              <w:widowControl w:val="false"/>
              <w:spacing w:lineRule="auto" w:line="240" w:before="0" w:after="0"/>
              <w:jc w:val="both"/>
              <w:rPr>
                <w:rFonts w:ascii="Times New Roman" w:hAnsi="Times New Roman"/>
                <w:sz w:val="14"/>
                <w:szCs w:val="14"/>
                <w:lang w:val="uk-UA" w:eastAsia="ru-RU"/>
              </w:rPr>
            </w:pPr>
            <w:r>
              <w:rPr>
                <w:rFonts w:ascii="Times New Roman" w:hAnsi="Times New Roman"/>
                <w:sz w:val="14"/>
                <w:szCs w:val="14"/>
                <w:lang w:val="uk-UA" w:eastAsia="ru-RU"/>
              </w:rPr>
              <w:t>У зв’язку із відсутністю технічної можливості реалізувати даний захід, виконання поновлено після відновлення декларування, відкриття публічної частини Єдиного реєстру декларацій осіб уповноважених на виконання функцій держави з10.12.2023.</w:t>
            </w:r>
          </w:p>
          <w:p>
            <w:pPr>
              <w:pStyle w:val="Normal"/>
              <w:widowControl w:val="false"/>
              <w:tabs>
                <w:tab w:val="clear" w:pos="708"/>
                <w:tab w:val="left" w:pos="9940" w:leader="none"/>
              </w:tabs>
              <w:spacing w:lineRule="auto" w:line="240" w:before="0" w:after="0"/>
              <w:jc w:val="both"/>
              <w:rPr>
                <w:rFonts w:ascii="Times New Roman" w:hAnsi="Times New Roman"/>
                <w:b/>
                <w:b/>
                <w:bCs/>
                <w:i/>
                <w:i/>
                <w:sz w:val="14"/>
                <w:szCs w:val="14"/>
                <w:lang w:val="uk-UA"/>
              </w:rPr>
            </w:pPr>
            <w:r>
              <w:rPr>
                <w:rFonts w:ascii="Times New Roman" w:hAnsi="Times New Roman"/>
                <w:iCs/>
                <w:sz w:val="14"/>
                <w:szCs w:val="14"/>
                <w:lang w:val="uk-UA"/>
              </w:rPr>
              <w:t xml:space="preserve">Перевірка своєчасності подання та факту подання щорічних декларацій здійснюється із використанням електронної форми </w:t>
            </w:r>
            <w:r>
              <w:rPr>
                <w:rFonts w:ascii="Times New Roman" w:hAnsi="Times New Roman"/>
                <w:iCs/>
                <w:sz w:val="14"/>
                <w:szCs w:val="14"/>
              </w:rPr>
              <w:t>Exel</w:t>
            </w:r>
            <w:r>
              <w:rPr>
                <w:rFonts w:ascii="Times New Roman" w:hAnsi="Times New Roman"/>
                <w:iCs/>
                <w:sz w:val="14"/>
                <w:szCs w:val="14"/>
                <w:lang w:val="uk-UA"/>
              </w:rPr>
              <w:t xml:space="preserve">, за допомогою якої генеруються </w:t>
            </w:r>
            <w:r>
              <w:rPr>
                <w:rFonts w:ascii="Times New Roman" w:hAnsi="Times New Roman"/>
                <w:iCs/>
                <w:sz w:val="14"/>
                <w:szCs w:val="14"/>
              </w:rPr>
              <w:t>ID</w:t>
            </w:r>
            <w:r>
              <w:rPr>
                <w:rFonts w:ascii="Times New Roman" w:hAnsi="Times New Roman"/>
                <w:iCs/>
                <w:sz w:val="14"/>
                <w:szCs w:val="14"/>
                <w:lang w:val="uk-UA"/>
              </w:rPr>
              <w:t xml:space="preserve"> персонально кожного суб’єкта декларування, що усуває людський фактор допущення помилки при перевірці відомостей</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Розроблена відповідна форма пам’ятки працівниками поліції щодо порядку своєчасного 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 суб’єктами декларування (доповідна УЗК від 30.09.2022 № 24778)</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початку 2022 року у підрозділах НПУ проведено 170 додаткових  навчань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 із врахуванням внесення до нього змін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Протягом 3 кварталу проведено близько 40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т.ч., враховуючи наявні рішення Європейського суду з прав людини.</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4 кварталу 2023 року проведено близько 53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Spacing"/>
              <w:widowControl w:val="false"/>
              <w:tabs>
                <w:tab w:val="clear" w:pos="708"/>
                <w:tab w:val="left" w:pos="567" w:leader="none"/>
                <w:tab w:val="left" w:pos="709" w:leader="none"/>
              </w:tabs>
              <w:jc w:val="both"/>
              <w:rPr>
                <w:sz w:val="14"/>
                <w:szCs w:val="14"/>
              </w:rPr>
            </w:pPr>
            <w:r>
              <w:rPr>
                <w:sz w:val="14"/>
                <w:szCs w:val="14"/>
              </w:rPr>
              <w:t xml:space="preserve"> </w:t>
            </w:r>
            <w:r>
              <w:rPr>
                <w:sz w:val="14"/>
                <w:szCs w:val="14"/>
              </w:rPr>
              <w:t>З метою контролю за поданням суб’єктами декларування декларацій за 2021 та 2022 роки,  у НПУ підготовлено наказ від 19 жовтня 2023 року № 956 «Про організацію та забезпечення подання електронних декларацій суб’єктами декларування за 2021 та 2022 роки».</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Spacing"/>
              <w:widowControl w:val="false"/>
              <w:tabs>
                <w:tab w:val="clear" w:pos="708"/>
                <w:tab w:val="left" w:pos="567" w:leader="none"/>
                <w:tab w:val="left" w:pos="709" w:leader="none"/>
              </w:tabs>
              <w:jc w:val="both"/>
              <w:rPr>
                <w:bCs/>
                <w:iCs/>
                <w:sz w:val="14"/>
                <w:szCs w:val="14"/>
              </w:rPr>
            </w:pPr>
            <w:r>
              <w:rPr>
                <w:bCs/>
                <w:iCs/>
                <w:sz w:val="14"/>
                <w:szCs w:val="14"/>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Spacing"/>
              <w:widowControl w:val="false"/>
              <w:tabs>
                <w:tab w:val="clear" w:pos="708"/>
                <w:tab w:val="left" w:pos="567" w:leader="none"/>
                <w:tab w:val="left" w:pos="709" w:leader="none"/>
              </w:tabs>
              <w:jc w:val="both"/>
              <w:rPr>
                <w:sz w:val="14"/>
                <w:szCs w:val="14"/>
              </w:rPr>
            </w:pPr>
            <w:r>
              <w:rPr>
                <w:rFonts w:eastAsia="Times New Roman"/>
                <w:spacing w:val="-8"/>
                <w:sz w:val="14"/>
                <w:szCs w:val="14"/>
                <w:shd w:fill="FFFFFF" w:val="clear"/>
                <w:lang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trPr>
          <w:trHeight w:val="1682"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7</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здійснення фінансового контролю та проведення спеціальних перевірок</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Можливий вплив зацікавлених осіб на формування довідки про результати спеціальної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w:t>
            </w:r>
          </w:p>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в поліції</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Наявність дискреційних повноважень у посадових працівників поліції, щодо прийняття рішення про врахування/не врахування відповідних пояснень осіб, чи /або при надані оцінки отриманої під час перевірки  інформації</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ефективність системи</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 Можлива недоброчесність   поліцейських, зловживання службовим становищем</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Спецперевірка проводиться відповідно до вимог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і внесення змін до деяких постанов Кабінету Міністрів України» від 25.03.2015 № 171</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та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pPr>
              <w:pStyle w:val="Normal"/>
              <w:widowControl w:val="false"/>
              <w:spacing w:lineRule="auto" w:line="240" w:before="0" w:after="0"/>
              <w:ind w:right="-96" w:hanging="0"/>
              <w:rPr>
                <w:rFonts w:ascii="Times New Roman" w:hAnsi="Times New Roman"/>
                <w:sz w:val="14"/>
                <w:szCs w:val="14"/>
                <w:lang w:val="uk-UA"/>
              </w:rPr>
            </w:pPr>
            <w:r>
              <w:rPr>
                <w:rFonts w:ascii="Times New Roman" w:hAnsi="Times New Roman"/>
                <w:sz w:val="14"/>
                <w:szCs w:val="14"/>
                <w:lang w:val="uk-UA"/>
              </w:rPr>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1</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низ</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1.Підготовка доручення (наказу), яким затвердити план проведення перевірок керівникам органів довідок про результати спеціальних перевірок із долученими до них матеріалами (згодою на проведення спеціальної перевірки, запитами/відповідями, поясненнями, за необхідності)</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2.Проведення перевірки достовірності наданих претендентом на посаду відомостей про себе з оригіналами або належним чином завіреними ними копіями відповідних документів (у тому числі шляхом якісного аналізу, наданих претендентом пояснень, за результатами виявлених НАЗК у декларації розбіжностей), а також його відповідності кваліфікаційним вимогам, з неухильним дотриманням строків проведення спеціальних перевірок</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30.04.22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 xml:space="preserve">Постійно </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t>Відповідне доручення</w:t>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t>розроблено</w:t>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t>(номер та дата наказу)</w:t>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right="-100" w:hanging="0"/>
              <w:jc w:val="center"/>
              <w:rPr>
                <w:rFonts w:ascii="Times New Roman" w:hAnsi="Times New Roman"/>
                <w:sz w:val="14"/>
                <w:szCs w:val="14"/>
                <w:lang w:val="uk-UA"/>
              </w:rPr>
            </w:pPr>
            <w:r>
              <w:rPr>
                <w:rFonts w:ascii="Times New Roman" w:hAnsi="Times New Roman"/>
                <w:sz w:val="14"/>
                <w:szCs w:val="14"/>
                <w:lang w:val="uk-UA"/>
              </w:rPr>
              <w:t>Перелік додаткових контрольних перевірок</w:t>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t>Навчання проведено</w:t>
            </w:r>
          </w:p>
          <w:p>
            <w:pPr>
              <w:pStyle w:val="Normal"/>
              <w:widowControl w:val="false"/>
              <w:spacing w:lineRule="auto" w:line="240" w:before="0" w:after="0"/>
              <w:ind w:left="-119" w:hanging="0"/>
              <w:jc w:val="center"/>
              <w:rPr>
                <w:rFonts w:ascii="Times New Roman" w:hAnsi="Times New Roman"/>
                <w:sz w:val="14"/>
                <w:szCs w:val="14"/>
                <w:lang w:val="uk-UA"/>
              </w:rPr>
            </w:pPr>
            <w:r>
              <w:rPr>
                <w:rFonts w:ascii="Times New Roman" w:hAnsi="Times New Roman"/>
                <w:sz w:val="14"/>
                <w:szCs w:val="14"/>
                <w:lang w:val="uk-UA"/>
              </w:rPr>
              <w:t>(кількість навчань)</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t>19.10.23</w:t>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1" w:right="-106" w:hanging="0"/>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14" w:hanging="0"/>
              <w:jc w:val="center"/>
              <w:rPr>
                <w:rFonts w:ascii="Times New Roman" w:hAnsi="Times New Roman"/>
                <w:sz w:val="14"/>
                <w:szCs w:val="14"/>
                <w:lang w:val="uk-UA"/>
              </w:rPr>
            </w:pPr>
            <w:r>
              <w:rPr>
                <w:rFonts w:ascii="Times New Roman" w:hAnsi="Times New Roman"/>
                <w:sz w:val="14"/>
                <w:szCs w:val="14"/>
                <w:lang w:val="uk-UA"/>
              </w:rPr>
              <w:t>30.06.24</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 зв’язку із введенням воєнного стану  спеціальні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в поліції  у 2 кварталі 2022 року не проводились (Закон України від 12.05.2022 р. № 2259-IX “Про внесення змін до деяких законів України щодо функціонування державної служби та місцевого самоврядування у період дії воєнного стану”)</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З метою проведення результатів (довідок) спеціальних перевірок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у НПУ розроблений наказ НПУ від 19.10.2023 № 955 «Про організацію проведення спеціальних перевірок стосовно осіб, які претендують на зайняття посад або призначені під час дії правового режиму воєнного стану на посади, які передбачають зайняття відповідального або особливо відповідального становища, та посад з підвищеним корупційним ризиком у НПУ».</w:t>
            </w:r>
          </w:p>
          <w:p>
            <w:pPr>
              <w:pStyle w:val="Normal"/>
              <w:widowControl w:val="false"/>
              <w:spacing w:lineRule="auto" w:line="240" w:before="0" w:after="0"/>
              <w:jc w:val="both"/>
              <w:rPr>
                <w:spacing w:val="-8"/>
                <w:shd w:fill="FFFFFF" w:val="clear"/>
                <w:lang w:val="uk-UA" w:eastAsia="ru-RU"/>
              </w:rPr>
            </w:pPr>
            <w:r>
              <w:rPr>
                <w:spacing w:val="-8"/>
                <w:shd w:fill="FFFFFF" w:val="clear"/>
                <w:lang w:val="uk-UA" w:eastAsia="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Rvps2"/>
              <w:widowControl w:val="false"/>
              <w:spacing w:beforeAutospacing="0" w:before="0" w:afterAutospacing="0" w:after="0"/>
              <w:jc w:val="both"/>
              <w:rPr>
                <w:rStyle w:val="Spanrvts0"/>
                <w:sz w:val="14"/>
                <w:szCs w:val="14"/>
                <w:lang w:val="uk-UA" w:eastAsia="uk-UA"/>
              </w:rPr>
            </w:pPr>
            <w:r>
              <w:rPr>
                <w:spacing w:val="-8"/>
                <w:sz w:val="14"/>
                <w:szCs w:val="14"/>
                <w:shd w:fill="FFFFFF" w:val="clear"/>
                <w:lang w:val="uk-UA" w:eastAsia="ru-RU"/>
              </w:rPr>
              <w:t>З метою поновлення спеціальних перевірок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згідно змін внесених у Закон України «Про запобігання корупції», у НПУ розроблений «Порядок проведення спеціальної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у НПУ» (наказ НПУ від 19.10.2023 № 955)</w:t>
            </w:r>
            <w:r>
              <w:rPr>
                <w:lang w:val="uk-UA" w:eastAsia="uk-UA"/>
              </w:rPr>
              <w:t xml:space="preserve"> </w:t>
            </w:r>
            <w:r>
              <w:rPr>
                <w:rStyle w:val="Spanrvts0"/>
                <w:sz w:val="14"/>
                <w:szCs w:val="14"/>
                <w:lang w:val="uk-UA" w:eastAsia="uk-UA"/>
              </w:rPr>
              <w:t xml:space="preserve">Проведення перевірки достовірності наданих кандидатом на посаду або вже призначеною особою на посаду, у період дії воєнного стану, відомостей про себе проводиться на підставі </w:t>
            </w:r>
            <w:r>
              <w:rPr>
                <w:sz w:val="14"/>
                <w:szCs w:val="14"/>
                <w:lang w:val="uk-UA"/>
              </w:rPr>
              <w:t xml:space="preserve">відповіді НАЗК про перевірку поданої останньої декларації, </w:t>
            </w:r>
            <w:r>
              <w:rPr>
                <w:rStyle w:val="Spanrvts0"/>
                <w:sz w:val="14"/>
                <w:szCs w:val="14"/>
                <w:lang w:val="uk-UA" w:eastAsia="uk-UA"/>
              </w:rPr>
              <w:t xml:space="preserve">письмової згоди на проведення спеціальної перевірки; автобіографії; копій сторінок паспорта громадянина України; копій документів про освіту; медичної довідки про стан здоров’я; копії військово-облікового документа; довідки про наявність допуску до державної таємниці (у разі його наявності); заяви/довідки, передбаченої </w:t>
            </w:r>
            <w:r>
              <w:fldChar w:fldCharType="begin"/>
            </w:r>
            <w:r>
              <w:rPr>
                <w:rStyle w:val="Arvts96"/>
                <w:sz w:val="14"/>
                <w:szCs w:val="14"/>
                <w:color w:val="auto"/>
                <w:lang w:val="uk-UA" w:eastAsia="uk-UA"/>
              </w:rPr>
              <w:instrText xml:space="preserve"> HYPERLINK "https://zakon.rada.gov.ua/laws/show/1682-18" \l "n114" \n _blank</w:instrText>
            </w:r>
            <w:r>
              <w:rPr>
                <w:rStyle w:val="Arvts96"/>
                <w:sz w:val="14"/>
                <w:szCs w:val="14"/>
                <w:color w:val="auto"/>
                <w:lang w:val="uk-UA" w:eastAsia="uk-UA"/>
              </w:rPr>
              <w:fldChar w:fldCharType="separate"/>
            </w:r>
            <w:r>
              <w:rPr>
                <w:rStyle w:val="Arvts96"/>
                <w:color w:val="auto"/>
                <w:sz w:val="14"/>
                <w:szCs w:val="14"/>
                <w:lang w:val="uk-UA" w:eastAsia="uk-UA"/>
              </w:rPr>
              <w:t>частиною першою</w:t>
            </w:r>
            <w:r>
              <w:rPr>
                <w:rStyle w:val="Arvts96"/>
                <w:sz w:val="14"/>
                <w:szCs w:val="14"/>
                <w:color w:val="auto"/>
                <w:lang w:val="uk-UA" w:eastAsia="uk-UA"/>
              </w:rPr>
              <w:fldChar w:fldCharType="end"/>
            </w:r>
            <w:r>
              <w:rPr>
                <w:rStyle w:val="Spanrvts0"/>
                <w:sz w:val="14"/>
                <w:szCs w:val="14"/>
                <w:lang w:val="uk-UA" w:eastAsia="uk-UA"/>
              </w:rPr>
              <w:t xml:space="preserve"> статті 6 Закону України “Про очищення влади” та військового квитка (у разі наявності). </w:t>
            </w:r>
          </w:p>
          <w:p>
            <w:pPr>
              <w:pStyle w:val="Rvps2"/>
              <w:widowControl w:val="false"/>
              <w:spacing w:beforeAutospacing="0" w:before="0" w:afterAutospacing="0" w:after="0"/>
              <w:jc w:val="both"/>
              <w:rPr>
                <w:rStyle w:val="Spanrvts0"/>
                <w:sz w:val="14"/>
                <w:szCs w:val="14"/>
                <w:lang w:val="uk-UA" w:eastAsia="uk-UA"/>
              </w:rPr>
            </w:pPr>
            <w:r>
              <w:rPr>
                <w:rStyle w:val="Spanrvts0"/>
                <w:sz w:val="14"/>
                <w:szCs w:val="14"/>
                <w:lang w:val="uk-UA" w:eastAsia="uk-UA"/>
              </w:rPr>
              <w:t xml:space="preserve">Формування довідки результатів спеціальної перевірки проводиться шляхом якісного аналізу, наданих кандидатом/призначеним пояснень, в разі виявлених НАЗК у декларації </w:t>
            </w:r>
            <w:r>
              <w:rPr>
                <w:rStyle w:val="Spanrvts0"/>
                <w:rFonts w:eastAsia="Calibri" w:eastAsiaTheme="minorHAnsi"/>
                <w:sz w:val="14"/>
                <w:szCs w:val="14"/>
                <w:lang w:val="uk-UA" w:eastAsia="uk-UA"/>
              </w:rPr>
              <w:t xml:space="preserve">неточностей </w:t>
            </w:r>
            <w:r>
              <w:rPr>
                <w:rStyle w:val="Spanrvts0"/>
                <w:sz w:val="14"/>
                <w:szCs w:val="14"/>
                <w:lang w:val="uk-UA" w:eastAsia="uk-UA"/>
              </w:rPr>
              <w:t>чи розбіжностей</w:t>
            </w:r>
            <w:bookmarkStart w:id="38" w:name="n17"/>
            <w:bookmarkStart w:id="39" w:name="n16"/>
            <w:bookmarkStart w:id="40" w:name="n14"/>
            <w:bookmarkEnd w:id="38"/>
            <w:bookmarkEnd w:id="39"/>
            <w:bookmarkEnd w:id="40"/>
            <w:r>
              <w:rPr>
                <w:rStyle w:val="Spanrvts0"/>
                <w:sz w:val="14"/>
                <w:szCs w:val="14"/>
                <w:lang w:val="uk-UA" w:eastAsia="uk-UA"/>
              </w:rPr>
              <w:t>.</w:t>
            </w:r>
          </w:p>
          <w:p>
            <w:pPr>
              <w:pStyle w:val="Normal"/>
              <w:widowControl w:val="false"/>
              <w:tabs>
                <w:tab w:val="clear" w:pos="708"/>
                <w:tab w:val="left" w:pos="567" w:leader="none"/>
                <w:tab w:val="left" w:pos="709" w:leader="none"/>
              </w:tabs>
              <w:spacing w:lineRule="auto" w:line="240" w:before="0" w:after="0"/>
              <w:ind w:right="-1" w:hanging="0"/>
              <w:jc w:val="both"/>
              <w:rPr>
                <w:rFonts w:ascii="Times New Roman" w:hAnsi="Times New Roman"/>
                <w:bCs/>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Так у першому кварталі 2024 року УЗК НПУ</w:t>
            </w:r>
            <w:r>
              <w:rPr>
                <w:rFonts w:ascii="Times New Roman" w:hAnsi="Times New Roman"/>
                <w:bCs/>
                <w:sz w:val="14"/>
                <w:szCs w:val="14"/>
                <w:lang w:val="uk-UA"/>
              </w:rPr>
              <w:t xml:space="preserve"> розпочато 254, закінчено 67 спеціальних перевірок.</w:t>
            </w:r>
          </w:p>
          <w:p>
            <w:pPr>
              <w:pStyle w:val="Normal"/>
              <w:widowControl w:val="false"/>
              <w:tabs>
                <w:tab w:val="clear" w:pos="708"/>
                <w:tab w:val="left" w:pos="567" w:leader="none"/>
                <w:tab w:val="left" w:pos="709" w:leader="none"/>
              </w:tabs>
              <w:spacing w:lineRule="auto" w:line="240" w:before="0" w:after="0"/>
              <w:ind w:right="-1" w:hanging="0"/>
              <w:jc w:val="both"/>
              <w:rPr>
                <w:bCs/>
                <w:lang w:val="ru-RU"/>
              </w:rPr>
            </w:pPr>
            <w:r>
              <w:rPr>
                <w:rFonts w:ascii="Times New Roman" w:hAnsi="Times New Roman"/>
                <w:sz w:val="14"/>
                <w:szCs w:val="14"/>
                <w:lang w:val="uk-UA"/>
              </w:rPr>
              <w:t>У другому кварталі 2024 року УЗК НПУ</w:t>
            </w:r>
            <w:r>
              <w:rPr>
                <w:rFonts w:ascii="Times New Roman" w:hAnsi="Times New Roman"/>
                <w:bCs/>
                <w:sz w:val="14"/>
                <w:szCs w:val="14"/>
                <w:lang w:val="uk-UA"/>
              </w:rPr>
              <w:t xml:space="preserve"> розпочато 24, закінчено 75 спеціальних перевірок</w:t>
            </w:r>
            <w:r>
              <w:rPr>
                <w:bCs/>
                <w:lang w:val="ru-RU"/>
              </w:rPr>
              <w:t xml:space="preserve">.  </w:t>
            </w:r>
          </w:p>
          <w:p>
            <w:pPr>
              <w:pStyle w:val="Normal"/>
              <w:widowControl w:val="false"/>
              <w:tabs>
                <w:tab w:val="clear" w:pos="708"/>
                <w:tab w:val="left" w:pos="567" w:leader="none"/>
                <w:tab w:val="left" w:pos="709" w:leader="none"/>
              </w:tabs>
              <w:spacing w:lineRule="auto" w:line="240" w:before="0" w:after="0"/>
              <w:jc w:val="both"/>
              <w:rPr>
                <w:rFonts w:ascii="Times New Roman" w:hAnsi="Times New Roman"/>
                <w:bCs/>
                <w:sz w:val="14"/>
                <w:szCs w:val="14"/>
                <w:lang w:val="uk-UA" w:eastAsia="ru-RU"/>
              </w:rPr>
            </w:pPr>
            <w:r>
              <w:rPr>
                <w:rFonts w:ascii="Times New Roman" w:hAnsi="Times New Roman"/>
                <w:bCs/>
                <w:sz w:val="14"/>
                <w:szCs w:val="14"/>
                <w:lang w:val="uk-UA" w:eastAsia="ru-RU"/>
              </w:rPr>
              <w:t xml:space="preserve">З метою дотримання вимог ст.ст. 56, 57, 58 </w:t>
            </w:r>
            <w:hyperlink r:id="rId3" w:tgtFrame="_top">
              <w:r>
                <w:rPr>
                  <w:rFonts w:ascii="Times New Roman" w:hAnsi="Times New Roman"/>
                  <w:sz w:val="14"/>
                  <w:szCs w:val="14"/>
                  <w:lang w:val="uk-UA" w:eastAsia="ru-RU"/>
                </w:rPr>
                <w:t>Закону України «Про запобігання корупції»</w:t>
              </w:r>
            </w:hyperlink>
            <w:r>
              <w:rPr>
                <w:rFonts w:ascii="Times New Roman" w:hAnsi="Times New Roman"/>
                <w:bCs/>
                <w:sz w:val="14"/>
                <w:szCs w:val="14"/>
                <w:lang w:val="uk-UA" w:eastAsia="ru-RU"/>
              </w:rPr>
              <w:t>, Постанови Кабінету Міністрів України від 25 березня 2015 року № 171 (зі змінами)</w:t>
            </w:r>
            <w:r>
              <w:rPr>
                <w:rFonts w:ascii="Times New Roman" w:hAnsi="Times New Roman"/>
                <w:sz w:val="14"/>
                <w:szCs w:val="14"/>
                <w:lang w:val="uk-UA" w:eastAsia="ru-RU"/>
              </w:rPr>
              <w:t>, Головою НПУ надано д</w:t>
            </w:r>
            <w:r>
              <w:rPr>
                <w:rFonts w:ascii="Times New Roman" w:hAnsi="Times New Roman"/>
                <w:sz w:val="14"/>
                <w:szCs w:val="14"/>
                <w:shd w:fill="FFFFFF" w:val="clear"/>
                <w:lang w:val="uk-UA"/>
              </w:rPr>
              <w:t>оручення № 24664-2024-01/1-225313 від 25 березня 2024 року керівникам Головного управління Національної поліції в Тернопільській області,</w:t>
            </w:r>
            <w:r>
              <w:rPr>
                <w:rFonts w:ascii="Times New Roman" w:hAnsi="Times New Roman"/>
                <w:bCs/>
                <w:sz w:val="14"/>
                <w:szCs w:val="14"/>
                <w:lang w:val="uk-UA" w:eastAsia="ru-RU"/>
              </w:rPr>
              <w:t xml:space="preserve"> </w:t>
            </w:r>
            <w:r>
              <w:rPr>
                <w:rFonts w:ascii="Times New Roman" w:hAnsi="Times New Roman"/>
                <w:sz w:val="14"/>
                <w:szCs w:val="14"/>
                <w:shd w:fill="FFFFFF" w:val="clear"/>
                <w:lang w:val="uk-UA"/>
              </w:rPr>
              <w:t>Головного управління Національної поліції у Волинській області,</w:t>
            </w:r>
            <w:r>
              <w:rPr>
                <w:rFonts w:ascii="Times New Roman" w:hAnsi="Times New Roman"/>
                <w:bCs/>
                <w:sz w:val="14"/>
                <w:szCs w:val="14"/>
                <w:lang w:val="uk-UA" w:eastAsia="ru-RU"/>
              </w:rPr>
              <w:t xml:space="preserve"> </w:t>
            </w:r>
            <w:r>
              <w:rPr>
                <w:rFonts w:ascii="Times New Roman" w:hAnsi="Times New Roman"/>
                <w:sz w:val="14"/>
                <w:szCs w:val="14"/>
                <w:shd w:fill="FFFFFF" w:val="clear"/>
                <w:lang w:val="uk-UA"/>
              </w:rPr>
              <w:t>Головного управління Національної поліції в Рівненській області провести службові розслідування щодо виявлених уповноваженими особами НАЗК порушень, з включенням до складу комісій працівників Управлінь внутрішньої безпеки ДВБ НПУ, із вжиттям заходів реагування у разі необхідності ;</w:t>
            </w:r>
            <w:r>
              <w:rPr>
                <w:rFonts w:ascii="Times New Roman" w:hAnsi="Times New Roman"/>
                <w:bCs/>
                <w:sz w:val="14"/>
                <w:szCs w:val="14"/>
                <w:lang w:val="uk-UA" w:eastAsia="ru-RU"/>
              </w:rPr>
              <w:t xml:space="preserve"> </w:t>
            </w:r>
          </w:p>
          <w:p>
            <w:pPr>
              <w:pStyle w:val="Normal"/>
              <w:widowControl w:val="false"/>
              <w:spacing w:lineRule="auto" w:line="240" w:before="0" w:after="0"/>
              <w:jc w:val="both"/>
              <w:rPr>
                <w:spacing w:val="-8"/>
                <w:shd w:fill="FFFFFF" w:val="clear"/>
                <w:lang w:val="uk-UA" w:eastAsia="ru-RU"/>
              </w:rPr>
            </w:pPr>
            <w:r>
              <w:rPr>
                <w:spacing w:val="-8"/>
                <w:shd w:fill="FFFFFF" w:val="clear"/>
                <w:lang w:val="uk-UA" w:eastAsia="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початку 2022 року у підрозділах НПУ проведено 170 додаткових навчань (тренінгів)  із працівниками поліції зі знання антикорупційного законодавства, із врахуванням внесення до нього змін у т.ч. постановою КМУ від 27.08.2022             № 959 «Про внесення змін до Порядку проведення спеціальної перевірки…» та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09.01.2023 - на виконання листа від 23.12.2022 № 5811/12/7/01-2022 розроблені тематичні плани для організації занять у системі службової підготовки  особового складу УЗК.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Протягом 4 кварталу 2023 року проведено близько 53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т.ч., враховуючи наявні рішення Європейського суду з прав людини.</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tabs>
                <w:tab w:val="clear" w:pos="708"/>
                <w:tab w:val="left" w:pos="0" w:leader="none"/>
              </w:tabs>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8</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IV. Забезпечення охорони прав і свобод людини, охорони публічної безпеки і порядку,</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забезпечення охорони об’єктів</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Ймовірність задоволення працівником поліції приватного інтересу свого або третіх осіб</w:t>
            </w:r>
          </w:p>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при встановленні порушення законодавства щодо опіки, піклування над дітьми-сиротами та дітьми, позбавленими батьківського піклування (приховування/прикриття фактів порушення прав дітей)</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 xml:space="preserve">Поліцейський використовуючи владні повноваження може  вимагати, прийняти пропозицію, обіцянку або одержати неправомірну вигоду за приховування (прикриття) фактів порушення прав дітей (жорстоке поводження, домашнє насильство, використання незаконної дитячої праці, у т.ч. так званих найгірших форм дитячої праці,  включаючи примусове чи обов’язкове вербування дітей для використання їх у збройних конфліктах, використання, вербування або пропонування дитини для зайняття проституцією, виробництва порнографічної продукції тощо), з боку опікунів та інших осіб, на які покладені обов’язки щодо </w:t>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 Можлива недоброчесність працівників поліції</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2.Відсутність обов’язкової відеофіксації виявлення порушень прав дитини.</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3.Недостатній рівень комунікації із органами влади соціальної сфер</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1</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1</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низ</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1.З метою недопущення приховування (прикриття) працівниками поліції фактів  порушення прав дітей, з боку опікунів та інших осіб, на які покладені обов’язки щодо виховання дітей, розробити та розповсюдити по всім відповідним підрозділам поліції інструкції (алгоритм) дій поліцейських при встановленні вищевказаних фактів</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2.Розробка механізму отримання від органів опіки, піклування актів обстеження умов проживання дітей.</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3. Розробка графіку проведення вибіркових перевірок відповідності фактичних умов проживання дітей з умовами вказаними у актах обстеження</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4.Надати пропозиції до МВС  про визначення постановою КМУ порядку взаємоінформування між заінтересованими суб’єктами реагування на порушення прав дитини</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5.Розробка типової внутрішньої інструкції щодо взаємодії поліції та територіальних громад, з питань надання допомоги та контролю за недопущенням фактів порушення прав дітей з боку опікунів та інших осіб, на які покладені обов’язки щодо виховання дітей</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7" w:hanging="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6.Додатково попереджати працівників поліції про  відповідальність, яка настає за порушення антикорупційного законодавства</w:t>
            </w:r>
          </w:p>
          <w:p>
            <w:pPr>
              <w:pStyle w:val="Normal"/>
              <w:widowControl w:val="false"/>
              <w:spacing w:lineRule="auto" w:line="240" w:before="0" w:after="0"/>
              <w:ind w:left="-64" w:right="-15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10.09.22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30.09.22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30.09.22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20.10.22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20.10.22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3" w:right="-104" w:hanging="0"/>
              <w:rPr>
                <w:rFonts w:ascii="Times New Roman" w:hAnsi="Times New Roman"/>
                <w:sz w:val="14"/>
                <w:szCs w:val="14"/>
                <w:lang w:val="uk-UA"/>
              </w:rPr>
            </w:pPr>
            <w:r>
              <w:rPr>
                <w:rFonts w:ascii="Times New Roman" w:hAnsi="Times New Roman"/>
                <w:sz w:val="14"/>
                <w:szCs w:val="14"/>
                <w:lang w:val="uk-UA"/>
              </w:rPr>
              <w:t>Постійно</w:t>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4" w:firstLine="7"/>
              <w:jc w:val="center"/>
              <w:rPr>
                <w:rFonts w:ascii="Times New Roman" w:hAnsi="Times New Roman"/>
                <w:sz w:val="14"/>
                <w:szCs w:val="14"/>
                <w:lang w:val="uk-UA"/>
              </w:rPr>
            </w:pPr>
            <w:r>
              <w:rPr>
                <w:rFonts w:ascii="Times New Roman" w:hAnsi="Times New Roman"/>
                <w:sz w:val="14"/>
                <w:szCs w:val="14"/>
                <w:lang w:val="uk-UA"/>
              </w:rPr>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УЮП 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УЮП 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УЮП 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УЮП ПД  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УЮП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УЮП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Механізм дій розроблено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Механізм дій розроблено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Графік розроблено та здійснено перевірки</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Пропозиції надано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Інструкцію розроблено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t>Відповідні попередження проведені</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t>21.10.22</w:t>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t>21.10.22</w:t>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t>01.12.22</w:t>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t>31.12.22</w:t>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t>06.04.22</w:t>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right="-12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2" w:right="-124"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Механізм дій розроблено (доручення УЮП НПУ від 21.10.2022                                № 1090/58/01/03/-2022 «Про вжиття заходів щодо запобігання корупційним ризикам в службовій діяльності поліцейських ювенальної превенції» та доручення НПУ від 02.11.2022                              № 6176/09/58-2022 «Про окремі питання організації службової діяльності підрозділів ювенальної превенції».</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Механізм дій розроблено (доручення НПУ від 02.09.2022 № 6176/09/58-2022; лист УЮП НПУ від 21.10.2022                               № 1090/58/01/03/-2022)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Підрозділам поліції, з метою покращення якості поліцейських послуг, належного забезпечення захисту прав та інтересів дітей доручено здійснення спільно з соціальними службами проведення перевірок місць проживання чи тимчасового перебування дітей, повернутих батькам (законним представникам) на цілодобове перебування, особливу увагу зосередивши на сім’ях, які перебувають у складних життєвих обставинах або ж тих, де батьки раніше позбавлялись батьківських прав. За результатами проведених звірок встановлено що станом на 01.12.2022 складено 549 актів щодо дітей:</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124 - про дитину, покинуту в пологовому будинку, іншому закладі охорони здоров’я;</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320 - про підкинуту чи знайдену дитину та її доставку;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105 - про дитину, яку батьки (матір або батько), інші родичі або законний представник відмовилися забрати з пологового будинку, іншого закладу охорони здоров’я.</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графіки розроблені. Станом на 01.12.2022 перевірено умови проживання 37 719 дітей, яких повернуто із таких закладів батькам чи іншим законним представникам, з них 5 042 дітей, які проживають в сім’ях, що опинились в складних життєвих обставинах. За результатами перевірок задокументовано 3394 адміністративних правопорушення стосовно дітей, з яких 2 952 факти невиконання батьками або особами, що їх заміняють обов’язків щодо виховання дітей (за ст.184 КУпАП та 442 факти учинення домашнього насильства (за ст. 1732 КУпАП). Виявлено 135 дітей, які перебували без догляду, 80 з яких спільно із службами у справах дітей відібрано із сімей. Крім того, встановлено 2 факти вчинення кримінальних правопорушення відносно дітей, яких повернуто батькам із закладів цілодобового перебування: за ст. 166 (Злісне невиконання обов'язків по догляду за дитиною або за особою, щодо якої встановлена опіка чи піклування) та ст. 125 ККУ (Умисне легке тілесне ушкодження)</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УЮП у межах компетенції опрацьовано ряд нормативно-правових актів з питань взаємодії між суб’єктами захисту прав дитини:прийнятий ВРУ Закон України «Про внесення змін до деяких законодавчих актів України щодо розмежування функцій органів державної влади та органів місцевого самоврядування з питань захисту прав дітей у зв’язку з утворенням Державної служби України у справах дітей», який надійшов з КМУ; проєкт ЗУ«Про внесення змін до деяких законодавчих актів України щодо запобігання жорстокому поводженню з дітьми, виникненню безпосередньої загрози їхньому життю або здоров’ю та подоланню цих явищ»; проєкт Закону «Про внесення змін до ЗУ «Про забезпечення прав і свобод громадян та правовий режим на тимчасово окупованій території України»;проєкт постанови КМУ «Про внесення змін до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КМУ від 20.08.2021 № 893».</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УЮП НПУ розроблено методичні рекомендації, (затверджено Головою НПУ та надіслано до ГУНП в областях та місті Києві для впровадження у роботу поліції (вих. №4244/01/20-2021 від 06.04.2021), з питань організації діяльності секторів ювенальної превенції територіальних (відокремлених) підрозділів ГУНП в областях (далі–Методичні рекомендації), якими визначено порядок взаємодії поліції та громади та типовий меморандум про співпрацю та партнерство щодо надання послуг з ювенальної превенції, зокрема з питань захисту прав дітей, належного виконання батьками або особами, що їх замінюють, обов'язків щодо виховання дітей. Наразі триває робота щодо розробки УЮП спільно з Одеським державним університетом внутрішніх справ методичних рекомендацій щодо особливостей діяльності підрозділів ювенальної превенції під час правового режиму воєнного стану, у змісті передбачено наступні розділи: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взаємодія підрозділів ювенальної превенції з іншими підрозділами поліції та з іншими органами та установами під час забезпечення та захисту прав дітей;</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участь поліцейських у здійсненні евакуації сімей з дітьми та дітей, які опинились в складних життєвих обставинах, позбавлених батьківського піклування, дитячих будинків сімейного типу, вихованців інтернатних та санаторних закладів, в яких діти перебувають цілодобово; здійснення контролю за додержанням вимог законів та інших нормативно-правових актів щодо опіки, піклування над дітьми-сиротами та дітьми, позбавленими батьківського піклування;</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особливості забезпечення та захисту прав дітей на деокупованих територіях.</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spacing w:val="-8"/>
                <w:shd w:fill="FFFFFF" w:val="clear"/>
                <w:lang w:val="uk-UA" w:eastAsia="ru-RU"/>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r>
              <w:rPr>
                <w:spacing w:val="-8"/>
                <w:shd w:fill="FFFFFF" w:val="clear"/>
                <w:lang w:val="uk-UA" w:eastAsia="ru-RU"/>
              </w:rPr>
              <w:t xml:space="preserve"> </w:t>
            </w:r>
          </w:p>
          <w:p>
            <w:pPr>
              <w:pStyle w:val="Normal"/>
              <w:widowControl w:val="false"/>
              <w:spacing w:lineRule="auto" w:line="240" w:before="0" w:after="0"/>
              <w:jc w:val="both"/>
              <w:rPr>
                <w:rFonts w:ascii="Times New Roman" w:hAnsi="Times New Roman"/>
                <w:sz w:val="14"/>
                <w:szCs w:val="14"/>
                <w:lang w:val="uk-UA"/>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68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9</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IV. Забезпечення охорони прав і свобод людини, охорони публічної безпеки і порядку,</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забезпечення охорони об’єктів</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отримання неправомірної вигоди під час проведення огляду водіїв транспортних засобів на стан сп’яніння</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Поліцейський використовуючи владні повноваження може  вимагати, прийняти пропозицію, обіцянку або одержати неправомірну вигоду від водія транспортного засобу, у якого виявлено стан сп’яніння без оформлення відповідних матеріалів.</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1.Неефективність системи   технічного контролю в органі влади (можливість самостійного виключення нагрудної камери поліцейським)</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працівників поліції</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3.Наявність усталених  корупційних практик</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1.Регламентація процедури в інструкції про порядок виявлення у водіїв транспортних засобів ознак сп’яніння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2.Застосування поліцейськими технічних засобів, що мають функції фото та відео запис</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3</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1</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1.Внести зміни до внутрішніх інструкцій поліції в частині забезпечення безперервної аудіо та відеофіксації нагрудною відеокамерою (портативним відео регістратором) усіх дій поліцейського під час  чергування при забезпеченні безпеки дорожнього руху</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2.Розробка алгоритму дій, що унеможливить втручання у роботу нагрудної камери поліцейського зі збереження усіх відеозаписів не менше 3 місяців</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3.Проведення додаткових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30.03.23</w:t>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30.03.23</w:t>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1" w:right="-129" w:hanging="0"/>
              <w:jc w:val="center"/>
              <w:rPr>
                <w:rFonts w:ascii="Times New Roman" w:hAnsi="Times New Roman"/>
                <w:sz w:val="14"/>
                <w:szCs w:val="14"/>
                <w:lang w:val="uk-UA"/>
              </w:rPr>
            </w:pPr>
            <w:r>
              <w:rPr>
                <w:rFonts w:ascii="Times New Roman" w:hAnsi="Times New Roman"/>
                <w:sz w:val="14"/>
                <w:szCs w:val="14"/>
                <w:lang w:val="uk-UA"/>
              </w:rPr>
              <w:t>ДПП</w:t>
            </w:r>
          </w:p>
          <w:p>
            <w:pPr>
              <w:pStyle w:val="Normal"/>
              <w:widowControl w:val="false"/>
              <w:spacing w:lineRule="auto" w:line="240" w:before="0" w:after="0"/>
              <w:ind w:left="-131"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131" w:right="-129" w:hanging="0"/>
              <w:jc w:val="center"/>
              <w:rPr>
                <w:rFonts w:ascii="Times New Roman" w:hAnsi="Times New Roman"/>
                <w:sz w:val="14"/>
                <w:szCs w:val="14"/>
                <w:lang w:val="uk-UA"/>
              </w:rPr>
            </w:pPr>
            <w:r>
              <w:rPr>
                <w:rFonts w:ascii="Times New Roman" w:hAnsi="Times New Roman"/>
                <w:sz w:val="14"/>
                <w:szCs w:val="14"/>
                <w:lang w:val="uk-UA"/>
              </w:rPr>
              <w:t>ПД</w:t>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1" w:right="-129" w:hanging="0"/>
              <w:rPr>
                <w:rFonts w:ascii="Times New Roman" w:hAnsi="Times New Roman"/>
                <w:sz w:val="14"/>
                <w:szCs w:val="14"/>
                <w:lang w:val="uk-UA"/>
              </w:rPr>
            </w:pPr>
            <w:r>
              <w:rPr>
                <w:rFonts w:ascii="Times New Roman" w:hAnsi="Times New Roman"/>
                <w:sz w:val="14"/>
                <w:szCs w:val="14"/>
                <w:lang w:val="uk-UA"/>
              </w:rPr>
              <w:t>ДПП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1" w:right="-129" w:hanging="0"/>
              <w:jc w:val="center"/>
              <w:rPr>
                <w:rFonts w:ascii="Times New Roman" w:hAnsi="Times New Roman"/>
                <w:sz w:val="14"/>
                <w:szCs w:val="14"/>
                <w:lang w:val="uk-UA"/>
              </w:rPr>
            </w:pPr>
            <w:r>
              <w:rPr>
                <w:rFonts w:ascii="Times New Roman" w:hAnsi="Times New Roman"/>
                <w:sz w:val="14"/>
                <w:szCs w:val="14"/>
                <w:lang w:val="uk-UA"/>
              </w:rPr>
              <w:t>ДПП</w:t>
            </w:r>
          </w:p>
          <w:p>
            <w:pPr>
              <w:pStyle w:val="Normal"/>
              <w:widowControl w:val="false"/>
              <w:spacing w:lineRule="auto" w:line="240" w:before="0" w:after="0"/>
              <w:ind w:left="-131" w:right="-129"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131" w:right="-129" w:hanging="0"/>
              <w:jc w:val="center"/>
              <w:rPr>
                <w:rFonts w:ascii="Times New Roman" w:hAnsi="Times New Roman"/>
                <w:sz w:val="14"/>
                <w:szCs w:val="14"/>
                <w:lang w:val="uk-UA"/>
              </w:rPr>
            </w:pPr>
            <w:r>
              <w:rPr>
                <w:rFonts w:ascii="Times New Roman" w:hAnsi="Times New Roman"/>
                <w:sz w:val="14"/>
                <w:szCs w:val="14"/>
                <w:lang w:val="uk-UA"/>
              </w:rPr>
              <w:t>ПД</w:t>
            </w:r>
          </w:p>
          <w:p>
            <w:pPr>
              <w:pStyle w:val="Normal"/>
              <w:widowControl w:val="false"/>
              <w:spacing w:lineRule="auto" w:line="240" w:before="0" w:after="0"/>
              <w:ind w:left="-95" w:right="-129"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Внести зміни до внутрішніх інструкцій поліції</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Розроблено алгоритму дій, що унеможливить втручання у роботу нагрудної камери поліцейського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29.06.23</w:t>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2"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Часткововиконано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Безперервно аудіо та відеофіксації нагрудною відеокамерою (портативним відео регістратором) усіх дій поліцейського відбувається з моменту початку виконання службових обов’язків та/або спеціальної поліцейської операції а відеозйомка ведеться безперервно до її завершення (п. 5 Інструкції із застосування органами та підрозділами поліції технічних приладів і технічних засобів фото- і кінозйомки, відеозапису, затвердженої наказом Міністерства внутрішніх справ України від 18 грудня 2018 року                       № 1026 (зі змінами)</w:t>
            </w:r>
          </w:p>
          <w:p>
            <w:pPr>
              <w:pStyle w:val="Normal"/>
              <w:widowControl w:val="false"/>
              <w:spacing w:lineRule="auto" w:line="240" w:before="0" w:after="0"/>
              <w:jc w:val="both"/>
              <w:rPr>
                <w:rFonts w:ascii="Times New Roman" w:hAnsi="Times New Roman" w:eastAsia="Cambria Math"/>
                <w:kern w:val="2"/>
                <w:sz w:val="14"/>
                <w:szCs w:val="14"/>
                <w:lang w:val="uk-UA" w:eastAsia="ru-RU"/>
              </w:rPr>
            </w:pPr>
            <w:r>
              <w:rPr>
                <w:rFonts w:eastAsia="Cambria Math" w:ascii="Times New Roman" w:hAnsi="Times New Roman"/>
                <w:kern w:val="2"/>
                <w:sz w:val="14"/>
                <w:szCs w:val="14"/>
                <w:lang w:val="uk-UA" w:eastAsia="ru-RU"/>
              </w:rPr>
              <w:t xml:space="preserve">У НПУ розроблено проєкт наказу МВС «Про затвердження Змін до Інструкції із застосування органами та підрозділами поліції технічних приладів і технічних засобів, що мають функції фото- і кінозйомки, відеозапису, засобів фото- і кінозйомки, відеозапису, затвердженої наказом МВС України від 18.12 2018 року № 1026, зареєстрованої в Міністерстві юстиції України   11.01.2019 року за № 28/32999». </w:t>
            </w:r>
            <w:r>
              <w:rPr>
                <w:rFonts w:eastAsia="Cambria Math" w:ascii="Times New Roman" w:hAnsi="Times New Roman"/>
                <w:kern w:val="2"/>
                <w:sz w:val="14"/>
                <w:szCs w:val="14"/>
                <w:lang w:val="ru-RU" w:eastAsia="ru-RU"/>
              </w:rPr>
              <w:t xml:space="preserve">18.04.2022 за вих. ДДЗ № 2528/01/26-2022) </w:t>
            </w:r>
            <w:r>
              <w:rPr>
                <w:rFonts w:eastAsia="Cambria Math" w:ascii="Times New Roman" w:hAnsi="Times New Roman"/>
                <w:kern w:val="2"/>
                <w:sz w:val="14"/>
                <w:szCs w:val="14"/>
                <w:lang w:val="uk-UA" w:eastAsia="ru-RU"/>
              </w:rPr>
              <w:t>вказаний проєкт наказу надіслано на розгляд до Міністерства внутрішніх справ України.</w:t>
            </w:r>
          </w:p>
          <w:p>
            <w:pPr>
              <w:pStyle w:val="Normal"/>
              <w:widowControl w:val="false"/>
              <w:spacing w:lineRule="auto" w:line="240" w:before="0" w:after="0"/>
              <w:jc w:val="both"/>
              <w:rPr>
                <w:rFonts w:ascii="Times New Roman" w:hAnsi="Times New Roman" w:eastAsia="Cambria Math"/>
                <w:kern w:val="2"/>
                <w:sz w:val="14"/>
                <w:szCs w:val="14"/>
                <w:lang w:val="uk-UA" w:eastAsia="ru-RU"/>
              </w:rPr>
            </w:pPr>
            <w:r>
              <w:rPr>
                <w:rFonts w:eastAsia="Cambria Math" w:ascii="Times New Roman" w:hAnsi="Times New Roman"/>
                <w:kern w:val="2"/>
                <w:sz w:val="14"/>
                <w:szCs w:val="14"/>
                <w:lang w:val="uk-UA" w:eastAsia="ru-RU"/>
              </w:rPr>
            </w:r>
          </w:p>
          <w:p>
            <w:pPr>
              <w:pStyle w:val="Normal"/>
              <w:widowControl w:val="false"/>
              <w:spacing w:lineRule="auto" w:line="240" w:before="0" w:after="0"/>
              <w:jc w:val="both"/>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З метою унеможливлення втручання у роботу нагрудної камери поліцейського зі збереження усіх відеозаписів не менше 3 місяців підрозділами ДПП НПУ впроваджено використання портативних відеореєстраторів Motorola (цифрова нагрудна відеокамера підвищеної міцності Video Badge VB-400), виробником яких передбачено можливість застосування додаткових симетричних алгоритмів блочного шифрування AES. Зазначені алгоритми протидії втручання в роботу портативних відеореєстраторів успішно впроваджено в діяльності підрозділів ДПП НПУ. Доступ сторонніх осіб до відеоматеріалів та відеозаписів обмежено.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Крім того, ДПП ужито заходів щодо збереження відеозаписів процедури проведення огляду водіїв транспортних засобів на стан алкогольного, наркотичного чи іншого сп’яніння або перебування під впливом лікарських препаратів, що знижують увагу та швидкість реакції та оформлення результатів такого огляду терміном не менше трьох місяців.</w:t>
            </w:r>
          </w:p>
          <w:p>
            <w:pPr>
              <w:pStyle w:val="Normal"/>
              <w:widowControl w:val="false"/>
              <w:spacing w:lineRule="auto" w:line="240" w:before="0" w:after="0"/>
              <w:jc w:val="both"/>
              <w:rPr>
                <w:rFonts w:ascii="Times New Roman" w:hAnsi="Times New Roman" w:eastAsia="Cambria Math"/>
                <w:kern w:val="2"/>
                <w:sz w:val="14"/>
                <w:szCs w:val="14"/>
                <w:lang w:val="uk-UA" w:eastAsia="ru-RU"/>
              </w:rPr>
            </w:pPr>
            <w:r>
              <w:rPr>
                <w:rFonts w:eastAsia="Cambria Math" w:ascii="Times New Roman" w:hAnsi="Times New Roman"/>
                <w:kern w:val="2"/>
                <w:sz w:val="14"/>
                <w:szCs w:val="14"/>
                <w:lang w:val="uk-UA" w:eastAsia="ru-RU"/>
              </w:rPr>
              <w:t>Відповідний алгоритм дій розроблений. (лист ДПП від 29.06.2023                                        № 11532/41/35/02-2023)</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законодавства, у т.ч. антикорупційного. Додатковий  контроль рівня знань антикорупційного законодавства здійснюється при проведенні перевірки з визначення рівня службової підготовленості поліцейських (наказ НПУ від 25.08.2022),  а також під час організації службової підготовки поліцейських (наказ НПУ від 15.12.2021 № 1049).</w:t>
            </w:r>
          </w:p>
          <w:p>
            <w:pPr>
              <w:pStyle w:val="Normal"/>
              <w:widowControl w:val="false"/>
              <w:spacing w:lineRule="auto" w:line="240" w:before="0" w:after="0"/>
              <w:jc w:val="both"/>
              <w:rPr>
                <w:rFonts w:ascii="Times New Roman" w:hAnsi="Times New Roman"/>
                <w:sz w:val="14"/>
                <w:szCs w:val="14"/>
                <w:u w:val="single"/>
                <w:lang w:val="uk-UA"/>
              </w:rPr>
            </w:pPr>
            <w:r>
              <w:rPr>
                <w:rFonts w:ascii="Times New Roman" w:hAnsi="Times New Roman"/>
                <w:spacing w:val="-8"/>
                <w:sz w:val="14"/>
                <w:szCs w:val="14"/>
                <w:shd w:fill="FFFFFF" w:val="clear"/>
                <w:lang w:val="uk-UA" w:eastAsia="ru-RU"/>
              </w:rPr>
              <w:t>Протягом 4 кварталу 2023 року проведено близько 53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sz w:val="14"/>
                <w:szCs w:val="14"/>
                <w:lang w:val="uk-UA"/>
              </w:rPr>
            </w:pPr>
            <w:hyperlink r:id="rId4">
              <w:r>
                <w:rPr>
                  <w:rStyle w:val="Hyperlink"/>
                  <w:rFonts w:ascii="Times New Roman" w:hAnsi="Times New Roman"/>
                  <w:color w:val="auto"/>
                  <w:sz w:val="14"/>
                  <w:szCs w:val="14"/>
                  <w:lang w:val="uk-UA"/>
                </w:rPr>
                <w:t>https://www.npu.gov.ua/pro-policiyu/zapobigannya-i-protidiya-korupciyi/vidpovidalnist-za-korupcijni-abo-povyazani-z-korupciyeyu-pravoporushennya</w:t>
              </w:r>
            </w:hyperlink>
          </w:p>
          <w:p>
            <w:pPr>
              <w:pStyle w:val="Normal"/>
              <w:widowControl w:val="false"/>
              <w:spacing w:lineRule="auto" w:line="240" w:before="0" w:after="0"/>
              <w:ind w:left="10" w:right="7" w:hanging="10"/>
              <w:jc w:val="both"/>
              <w:rPr>
                <w:rFonts w:ascii="Times New Roman" w:hAnsi="Times New Roman" w:eastAsia="Cambria Math"/>
                <w:kern w:val="2"/>
                <w:sz w:val="14"/>
                <w:szCs w:val="14"/>
                <w:lang w:val="uk-UA" w:eastAsia="ru-RU"/>
              </w:rPr>
            </w:pPr>
            <w:r>
              <w:rPr>
                <w:rFonts w:ascii="Times New Roman" w:hAnsi="Times New Roman"/>
                <w:spacing w:val="-8"/>
                <w:sz w:val="14"/>
                <w:szCs w:val="14"/>
                <w:shd w:fill="FFFFFF" w:val="clear"/>
                <w:lang w:val="uk-UA" w:eastAsia="ru-RU"/>
              </w:rPr>
              <w:t xml:space="preserve">З метою перевірки технічного стану портативних відеореєстраторів та планшетних пристроїв, щодо спроможності до безперервного функціонування, які використовуються добовими нарядами поліції у т.ч. </w:t>
            </w:r>
            <w:r>
              <w:rPr>
                <w:rFonts w:eastAsia="Cambria Math" w:ascii="Times New Roman" w:hAnsi="Times New Roman"/>
                <w:kern w:val="2"/>
                <w:sz w:val="14"/>
                <w:szCs w:val="14"/>
                <w:lang w:val="uk-UA" w:eastAsia="ru-RU"/>
              </w:rPr>
              <w:t xml:space="preserve"> під час  чергування при забезпеченні безпеки дорожнього руху, Головою НПУ надано відповідне доручення керівникам підрозділів поліції (№ СЕД-8994/01-2023 від 05.12.2023)</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tabs>
                <w:tab w:val="clear" w:pos="708"/>
                <w:tab w:val="left" w:pos="567" w:leader="none"/>
              </w:tabs>
              <w:spacing w:lineRule="auto" w:line="240" w:before="0" w:after="0"/>
              <w:jc w:val="both"/>
              <w:rPr>
                <w:lang w:val="uk-UA" w:eastAsia="ru-RU"/>
              </w:rPr>
            </w:pPr>
            <w:r>
              <w:rPr>
                <w:rFonts w:ascii="Times New Roman" w:hAnsi="Times New Roman"/>
                <w:sz w:val="14"/>
                <w:szCs w:val="14"/>
                <w:lang w:val="uk-UA" w:eastAsia="ru-RU"/>
              </w:rPr>
              <w:t>Головою НПУ наказом від 18 березня 2024 року № 274 д</w:t>
            </w:r>
            <w:r>
              <w:rPr>
                <w:rFonts w:ascii="Times New Roman" w:hAnsi="Times New Roman"/>
                <w:sz w:val="14"/>
                <w:szCs w:val="14"/>
                <w:shd w:fill="FFFFFF" w:val="clear"/>
                <w:lang w:val="uk-UA"/>
              </w:rPr>
              <w:t>оручено</w:t>
            </w:r>
            <w:r>
              <w:rPr>
                <w:rFonts w:ascii="Times New Roman" w:hAnsi="Times New Roman"/>
                <w:sz w:val="14"/>
                <w:szCs w:val="14"/>
                <w:lang w:val="uk-UA" w:eastAsia="ru-RU"/>
              </w:rPr>
              <w:t xml:space="preserve"> Департаменту внутрішньої безпеки НПУ провести службове розслідування щодо ідентифікації ризиків можливого факту задоволення службовими особами патрульної поліції України приватного інтересу свого або третіх осіб при застосуванні ними заходів адміністративного характеру у справах стосовно осіб, які керували транспортним засобом у стані алкогольного, наркотичного  чи іншого сп'яніння, як таких що мають суспільний резонанс, із включенням                   до складу комісії представника Управління запобігання корупції НПУ</w:t>
            </w:r>
            <w:r>
              <w:rPr>
                <w:lang w:val="uk-UA" w:eastAsia="ru-RU"/>
              </w:rPr>
              <w:t>.</w:t>
            </w:r>
          </w:p>
          <w:p>
            <w:pPr>
              <w:pStyle w:val="Normal"/>
              <w:widowControl w:val="false"/>
              <w:spacing w:lineRule="auto" w:line="240" w:before="0" w:after="0"/>
              <w:ind w:left="10" w:right="7" w:hanging="1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trPr>
          <w:trHeight w:val="2542"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10</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IV. Забезпечення охорони прав і свобод людини, охорони публічної безпеки і порядку,</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забезпечення охорони об’єктів</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Можлива недоброчесність працівників територіальних органів поліції охорони під час укладення договорів про надання послуг із забезпечення публічної безпеки і порядку, без попереднього погодження з керівництвом департаменту поліції охорони та/ або надання послуг з охорони без укладення відповідних договорів, з метою отримання неправомірної вигоди від суб'єктів господарювання (потенційних клієнтів)</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З метою отримання неправомірної вигоди від суб'єктів господарювання (потенційних клієнтів) працівники територіальних органів поліції охорони під час укладення договорів про надання послуг із забезпечення публічної безпеки і порядку за завідома заниженими цінами, можуть це здійснювати без попереднього погодження з керівництвом департаменту поліції охорони та/ або  надавати послуги з охорони без укладення відповідних договорів взагалі</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урегульованість внутрішніх організаційно-нормативних актів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2.Недостатні існуючі методи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працівників поліції охорони</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1.Розроблено доручення ДПО «Про окремі питання укладення договорів про надання послуг з фізичної охорони» у частині  надання послуг із забезпечення публічної безпеки та порядку і  «Порядок укладення та супроводження, унесення змін та розірвання договорів»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03"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t>1.З метою виключення випадків непогодження укладення договорів з керівництвом ДПО, та недопущення надання послуг з охорони без укладення договорів підготувати доручення (наказ), яким встановити алгоритм (порядок) погодження  з керівництвом ДПО укладення відповідних договорів, із включенням до алгоритму дій - порядку проведення додаткових вибіркових перевірок організації службової діяльності із вищевказаних питань</w:t>
            </w:r>
          </w:p>
          <w:p>
            <w:pPr>
              <w:pStyle w:val="Normal"/>
              <w:widowControl w:val="false"/>
              <w:spacing w:lineRule="auto" w:line="240" w:before="0" w:after="0"/>
              <w:ind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t>2.Розробка додаткових заходів контролю з боку центрального апарату ДПО за недопущенням надання  територіальними</w:t>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t>підрозділами послуг з охорони без укладення відповідних договорів   (графік раптових перевірок із проведенням учбових викликів, аналіз/порівняння діючих договорів із фактичним наданням охоронних послуг, отримання інформації від працівників охорони під час проведення співбесід тощо)</w:t>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41" w:hanging="0"/>
              <w:rPr>
                <w:rFonts w:ascii="Times New Roman" w:hAnsi="Times New Roman"/>
                <w:sz w:val="14"/>
                <w:szCs w:val="14"/>
                <w:lang w:val="uk-UA"/>
              </w:rPr>
            </w:pPr>
            <w:r>
              <w:rPr>
                <w:rFonts w:ascii="Times New Roman" w:hAnsi="Times New Roman"/>
                <w:sz w:val="14"/>
                <w:szCs w:val="14"/>
                <w:lang w:val="uk-UA"/>
              </w:rPr>
              <w:t>3. Додатково попереджати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t>30.05.22</w:t>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5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rPr>
                <w:rFonts w:ascii="Times New Roman" w:hAnsi="Times New Roman"/>
                <w:sz w:val="14"/>
                <w:szCs w:val="14"/>
                <w:lang w:val="uk-UA"/>
              </w:rPr>
            </w:pPr>
            <w:r>
              <w:rPr>
                <w:rFonts w:ascii="Times New Roman" w:hAnsi="Times New Roman"/>
                <w:sz w:val="14"/>
                <w:szCs w:val="14"/>
                <w:lang w:val="uk-UA"/>
              </w:rPr>
              <w:t>Постійно</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ДПО</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ДПО</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ДПО</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Відповідне доручення (наказ) підготовлено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Розроблено додаткові заходи контролю</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Здійснено додаткові попередження працівників поліції</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29.09.22</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29.09.22</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Відповідне доручення начальника Департаменту поліції охорони від 29.09.2022 року № 3210/43/13-2022 до доповідної записки ВЗК ДПО від 29.09.2022 року № 6/43/14/05-22 підготовлено.</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Додаткові заходи контролю розроблені. За дорученням начальника ДПО від 29.09.2022 року № 3210/43/13-2022 до доповідної записки ВЗК ДПО від 29.09.2022 року № 6/43/14/05-22 з метою дотримання антикорупційного законодавства, недопущення недоброчесності працівників територіальних органів поліції охорони і виключення випадків  отримання неправомірної вигоди під час укладення договорів, керівникам територіальних органів поліції охорони доручено посилити контроль за неухильним виконанням наказу ДПО від 06.10.2021                № 100 «Про затвердження примірних договорів», де  встановлений контроль за процедурою укладання договорів про надання послуг з фізичної охорони, в тому числі перед підписанням договору про надання послуг з фізичної охорони (або перед початком проведення процедури тендерних закупівель, зокрема договорів субпідряду між органами (установами) поліції охорони. Також передбачено   письмове інформування ДДПО про можливість укладання договорів, та укладання їх лише за умов отримання письмового погодження Департаменту.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w:t>
            </w:r>
          </w:p>
          <w:p>
            <w:pPr>
              <w:pStyle w:val="Normal"/>
              <w:widowControl w:val="false"/>
              <w:spacing w:lineRule="auto" w:line="240" w:before="0" w:after="0"/>
              <w:ind w:right="54" w:hanging="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16"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11</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IV. Забезпечення охорони прав і свобод людини, охорони публічної безпеки і порядку,</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забезпечення охорони об’єктів</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Можлива недоброчесність  працівників поліції охорони при використанні службової інформації (розташування постів охорони, маршрути руху, отриманні завдання, паролі доступу тощо), з метою задоволення приватного інтересу свого або на користь третіх осіб</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Працівники поліції охорони, використовуючи службові повноваження та доступ до відповідної інформації, з метою задоволення приватного інтересу свого або на користь третіх осіб можуть незаконно надавати службову інформацію (розташування постів охорони, маршрутів руху, отриманні завдання, паролі доступу тощо), стороннім зацікавленим особам</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урегульованість внутрішнього алгоритму дій</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2.Недостатні існуючі методи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працівників поліції охорони</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1.З метою недопущення використання службової інформації в особистих цілях уживаються заходи її захисту відповідно до Переліку відомостей, що становлять службову інформацію в системі Національної поліції України.</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 Інструктажі щодо дотримання Інструкції про організацію службової діяльності органів поліції охорони під час виконання заходів з фізичної охорони об'єктів</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1</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низ</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1.З метою недопущення використання службової інформації в особистих цілях, та недопущенням випадків повідомлення службової інформації стороннім особам, розробити письмову форму обов'язкового інструктажу поліцейських щодо забезпечення дотримання наказів НПУ від 07.07.2017 № 577 та від  12.10.2018   № 945З</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 З метою недопущення використання службової інформації в особистих цілях, та недопущенням випадків повідомлення службової інформації стороннім особам, підготувати доручення щодо додаткового підсилення внутрішнього контролю керівництва за особовим складом</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3.Проведення додаткових навчань працівників поліції зі знання антикорупційного законодавства, з урахуванням внесених до нього змін,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30.04.22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15.04.22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ДПО</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ДПО</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ДПО</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ДПО</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Відповідне доручення (наказ) підготовлено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Відповідне доручення (наказ) підготовлено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 несенням служби</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31.12.22</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03.10.22</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2" w:hanging="0"/>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2"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4" w:hanging="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метою недопущення порушень антикорупційного законодавства відділом запобігання корупції Департаменту поліції охорони  розроблено та впроваджено письмову форму обов’язкового інструктажу поліцейських щодо збереження  службової інформації, яка стала йому відома у зв’язку з виконанням службових обов’язків.</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Відповідно до доручення начальника Департаменту поліції охорони від          03 жовтня 2022 року № 62 керівникам структурних підрозділів Департаменту та органів поліції охорони доручено забезпечити проведення обов’язкового інструктажу поліцейських щодо збереження  службової інформації, яка стала йому відома у зв’язку з виконанням службових обов’язків, та посилити внутрішній контроль керівництва за особовим складом щодо   беззаперечного дотримання наказу Міністерства внутрішніх справ від 07 липня 2017 року № 577 «Про організацію службової діяльності поліції охорони з питань забезпечення фізичної охорони об’єктів»,  наказу НПУ від 12 жовтня 2018 року №945 «Про затвердження Переліку відомостей, що становлять службову інформацію в системі Національної поліції».</w:t>
            </w:r>
          </w:p>
          <w:p>
            <w:pPr>
              <w:pStyle w:val="Normal"/>
              <w:widowControl w:val="false"/>
              <w:spacing w:lineRule="auto" w:line="240" w:before="0" w:after="0"/>
              <w:jc w:val="both"/>
              <w:rPr>
                <w:spacing w:val="-8"/>
                <w:shd w:fill="FFFFFF" w:val="clear"/>
                <w:lang w:val="uk-UA" w:eastAsia="ru-RU"/>
              </w:rPr>
            </w:pPr>
            <w:r>
              <w:rPr>
                <w:rFonts w:ascii="Times New Roman" w:hAnsi="Times New Roman"/>
                <w:sz w:val="14"/>
                <w:szCs w:val="14"/>
                <w:lang w:val="uk-UA"/>
              </w:rPr>
              <w:t>Проведені щоквартальні додаткові  навчання із працівниками поліції охорони зі знання антикорупційного законодавства, із врахуванням внесення до нього змін, з приведенням типових ситуацій недоброчесності  працівників поліції охорони при використанні службової інформації, із попередженням  про відповідальність, яка настає за  порушення антикорупційного законодавства.</w:t>
            </w:r>
            <w:r>
              <w:rPr>
                <w:spacing w:val="-8"/>
                <w:shd w:fill="FFFFFF" w:val="clear"/>
                <w:lang w:val="uk-UA" w:eastAsia="ru-RU"/>
              </w:rPr>
              <w:t xml:space="preserve"> </w:t>
            </w:r>
          </w:p>
          <w:p>
            <w:pPr>
              <w:pStyle w:val="Normal"/>
              <w:widowControl w:val="false"/>
              <w:spacing w:lineRule="auto" w:line="240" w:before="0" w:after="0"/>
              <w:jc w:val="both"/>
              <w:rPr>
                <w:rStyle w:val="Hyperlink"/>
                <w:rFonts w:ascii="Times New Roman" w:hAnsi="Times New Roman"/>
                <w:color w:val="auto"/>
                <w:sz w:val="14"/>
                <w:szCs w:val="14"/>
                <w:lang w:val="uk-UA"/>
              </w:rPr>
            </w:pPr>
            <w:r>
              <w:rPr>
                <w:rFonts w:ascii="Times New Roman" w:hAnsi="Times New Roman"/>
                <w:spacing w:val="-8"/>
                <w:sz w:val="14"/>
                <w:szCs w:val="14"/>
                <w:shd w:fill="FFFFFF" w:val="clear"/>
                <w:lang w:val="uk-UA" w:eastAsia="ru-RU"/>
              </w:rPr>
              <w:t>Протягом 2 кварталу 2024 року проведено близько 15 додаткових  навчань (тренінгів) із працівниками поліції охорони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54" w:hanging="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охорони здійснюються на постійній основі у робочому порядку у т.ч. під час проведення інструктажів перед несенням служби.</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 </w:t>
            </w: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12</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  Система внутрішнього контролю Національної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отримання неправомірної вигоди працівником поліції від зацікавлених осіб за несвоєчасне направлення адміністративних матеріалів до суду, для уникнення відповідальності порушником за скоєне адмінпорушення за термінами розгляду у суді</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Працівник поліції використовуючи повноваження та недосконалість механізму контролю може  вимагати, прийняти пропозицію, обіцянку або одержати неправомірну вигоду від зацікавлених осіб,  за несвоєчасне направлення адміністративних матеріалів до суду , що може призвести до закриття  адміністративної справи у зв’язку із закінченням строків притягнення</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1.Недосконалість механізму контролю за опрацюванням матеріалів про адміністративні порушення</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працівників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1.Регламентована процедура оформлення адміністративних матеріалів та направлення їх у відповідні органи для прийняття рішення</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sz w:val="14"/>
                <w:szCs w:val="14"/>
                <w:lang w:val="uk-UA"/>
              </w:rPr>
              <w:t>3</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03" w:hanging="0"/>
              <w:jc w:val="center"/>
              <w:rPr>
                <w:rFonts w:ascii="Times New Roman" w:hAnsi="Times New Roman"/>
                <w:sz w:val="14"/>
                <w:szCs w:val="14"/>
                <w:lang w:val="uk-UA"/>
              </w:rPr>
            </w:pPr>
            <w:r>
              <w:rPr>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1.Запровадити електронний документообіг, з обов’язковим створенням електронної бази адміністративних матеріалів з даними  про їх дати складання, контрольної дати направлення до суду та фактичної дати направлення до суду</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2.Проведення звірок керівництвом  або спеціально визначеними працівниками поліції своєчасності направлення адміністративних матеріалів до суду</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3.Розробка пам’ятки щодо дотримання порядку своєчасного направлення до суду адміністративних матеріалів, з попередженням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30.09.22</w:t>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Місяць</w:t>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30.09.22</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ДПД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ДПД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ДПД УЗК ДКЗ ТОП</w:t>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t>Запроваджено електронний документообіг</w:t>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t>Звірки проведено</w:t>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t>Розроблено пам’ятку</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31.03.23</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t>30.09.22</w:t>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НПУ прийнята участь у підготовці проєкту наказу МВС  «Про затвердження Інструкції з формування та ведення інформаційної підсистеми «Адміністративна практика інформаційно-комунікаційної системи «Інформаційний портал НПУ», у рамках якого передбачений електронний документообіг, із створенням електронної бази адміністративних матеріалів. Станом на 30.09.2022 проєкт наказу знаходиться у МВС на погодженні. Станом на 30.12 2022 року проєкт наказу, погоджений Департаментом юридичного забезпечення МВС та направлений в Мінюст.</w:t>
            </w:r>
          </w:p>
          <w:p>
            <w:pPr>
              <w:pStyle w:val="Normal"/>
              <w:widowControl w:val="false"/>
              <w:spacing w:lineRule="auto" w:line="240" w:before="0" w:after="0"/>
              <w:jc w:val="both"/>
              <w:rPr>
                <w:rFonts w:ascii="Times New Roman" w:hAnsi="Times New Roman"/>
                <w:bCs/>
                <w:sz w:val="14"/>
                <w:szCs w:val="14"/>
                <w:lang w:val="uk-UA"/>
              </w:rPr>
            </w:pPr>
            <w:r>
              <w:rPr>
                <w:rFonts w:ascii="Times New Roman" w:hAnsi="Times New Roman"/>
                <w:bCs/>
                <w:sz w:val="14"/>
                <w:szCs w:val="14"/>
                <w:lang w:val="uk-UA"/>
              </w:rPr>
              <w:t xml:space="preserve">Відповідний наказ розроблено (наказ МВС від 31.03.2023 № 180). </w:t>
            </w:r>
          </w:p>
          <w:p>
            <w:pPr>
              <w:pStyle w:val="Normal"/>
              <w:widowControl w:val="false"/>
              <w:spacing w:lineRule="auto" w:line="240" w:before="0" w:after="0"/>
              <w:jc w:val="both"/>
              <w:rPr>
                <w:rFonts w:ascii="Times New Roman" w:hAnsi="Times New Roman"/>
                <w:bCs/>
                <w:sz w:val="14"/>
                <w:szCs w:val="14"/>
                <w:lang w:val="uk-UA"/>
              </w:rPr>
            </w:pPr>
            <w:r>
              <w:rPr>
                <w:rFonts w:ascii="Times New Roman" w:hAnsi="Times New Roman"/>
                <w:bCs/>
                <w:sz w:val="14"/>
                <w:szCs w:val="14"/>
                <w:lang w:val="uk-UA"/>
              </w:rPr>
              <w:t>Додатково розроблені методичні рекомендації щодо порядку формування інформаційноїпідсистеми«Адмінпрактика»інформаційно-комунікаційної системи «Інформаційний портал Національної поліції України» (від 14 06.2023 № 5884/09/27-2023).</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 підрозділах поліції утворені сектори адміністративної практики, на які покладено забезпечення контролю у т.ч. проведення відповідних звірок, за дотриманням поліцейськими стану діловодства в справах про адміністративні правопорушення. ДПД розроблено та Головою НПУ затверджені Методичні рекомендації з питань діяльності секторів адміністративної практики, які надіслано до територіальних підрозділів поліції.</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Щомісячно аналізується стан документування поліцейськими ГУНП правопорушень, у тому числі в сфері забезпечення безпеки дорожнього руху, а також ухвалені судами рішення за результатами розгляду відповідних справ. Відповідні аналітичні матеріали, у вигляді оглядів, щомісячно надсилаються керівництву ГУНП для забезпечення контролю за дотриманням стану адміністративно-правозастосовної діяльності в підпорядкованих підрозділах та прийняття відповідних управлінських рішень. Таким чином, питання дотримання стану адміністративно-правозастосовної діяльності в територіальних (відокремлених) підрозділах ГУНП в областях перебуває на контролі ДПД.</w:t>
            </w:r>
          </w:p>
          <w:p>
            <w:pPr>
              <w:pStyle w:val="Normal"/>
              <w:widowControl w:val="false"/>
              <w:spacing w:lineRule="auto" w:line="240" w:before="0" w:after="0"/>
              <w:ind w:left="10" w:hanging="0"/>
              <w:jc w:val="both"/>
              <w:rPr>
                <w:rFonts w:ascii="Times New Roman" w:hAnsi="Times New Roman"/>
                <w:sz w:val="14"/>
                <w:szCs w:val="14"/>
                <w:lang w:val="uk-UA" w:eastAsia="ru-RU"/>
              </w:rPr>
            </w:pPr>
            <w:r>
              <w:rPr>
                <w:rFonts w:ascii="Times New Roman" w:hAnsi="Times New Roman"/>
                <w:sz w:val="14"/>
                <w:szCs w:val="14"/>
                <w:lang w:val="uk-UA"/>
              </w:rPr>
              <w:t xml:space="preserve">З метою вдосконалення механізму оформлення матеріалів про адміністративні правопорушення в електронному вигляді               та додаткового контролю за </w:t>
            </w:r>
            <w:r>
              <w:rPr>
                <w:rFonts w:ascii="Times New Roman" w:hAnsi="Times New Roman"/>
                <w:sz w:val="14"/>
                <w:szCs w:val="14"/>
                <w:lang w:val="uk-UA" w:eastAsia="ru-RU"/>
              </w:rPr>
              <w:t>своєчасністю направлення адміністративних матеріалів        до суду, Головою НПУ надано доручення підрозділам поліції про уведення з 28.11.2023 в тестову експлуатаціформи        «Адмінпостанова БДР» (доручення від 23.11.2023 № СЕД- 4527/01-2023).</w:t>
            </w:r>
          </w:p>
          <w:p>
            <w:pPr>
              <w:pStyle w:val="Normal"/>
              <w:widowControl w:val="false"/>
              <w:spacing w:lineRule="auto" w:line="240" w:before="0" w:after="0"/>
              <w:ind w:left="10" w:right="137" w:hanging="0"/>
              <w:jc w:val="both"/>
              <w:rPr>
                <w:lang w:val="uk-UA"/>
              </w:rPr>
            </w:pPr>
            <w:r>
              <w:rPr>
                <w:rFonts w:ascii="Times New Roman" w:hAnsi="Times New Roman"/>
                <w:sz w:val="14"/>
                <w:szCs w:val="14"/>
                <w:lang w:val="uk-UA"/>
              </w:rPr>
              <w:t>Для здійснення додаткового контролю за строками направлення протоколів про адміністративні правопорушення у сфері забезпечення безпеки дорожнього руху до органів (посадових осіб), яким надано право накладати адміністративні стягнення, ДПП спільно з ДІАП в інформаційно комунікаційній системі «Інформаційний портал Національної поліції України» розроблено звіт «Направлення матеріалів про адміністративне правопорушення (по лінії порушення ПДР) до органів, яким надано право накладати адміністративне стягнення».</w:t>
            </w:r>
            <w:r>
              <w:rPr>
                <w:lang w:val="uk-UA"/>
              </w:rPr>
              <w:t xml:space="preserve"> </w:t>
            </w:r>
          </w:p>
          <w:p>
            <w:pPr>
              <w:pStyle w:val="Normal"/>
              <w:widowControl w:val="false"/>
              <w:spacing w:lineRule="auto" w:line="240" w:before="0" w:after="0"/>
              <w:ind w:left="10" w:right="137" w:hanging="0"/>
              <w:jc w:val="both"/>
              <w:rPr>
                <w:rFonts w:ascii="Times New Roman" w:hAnsi="Times New Roman"/>
                <w:sz w:val="14"/>
                <w:szCs w:val="14"/>
                <w:lang w:val="uk-UA" w:eastAsia="ru-RU"/>
              </w:rPr>
            </w:pPr>
            <w:r>
              <w:rPr>
                <w:rFonts w:ascii="Times New Roman" w:hAnsi="Times New Roman"/>
                <w:sz w:val="14"/>
                <w:szCs w:val="14"/>
                <w:lang w:val="uk-UA"/>
              </w:rPr>
              <w:t>Для здійснення додаткового контролю за строками направлення протоколів про адміністративні правопорушення у сфері забезпечення безпеки дорожнього руху до органів (посадових осіб), яким надано право накладати адміністративні стягнення, ДПП спільно з ДІАП в інформаційно комунікаційній системі «Інформаційний портал Національної поліції України» розроблено звіт «Направлення матеріалів про адміністративне правопорушення (по лінії порушення ПДР) до органів, яким надано право накладати адміністративне стягнення».</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Відповідну пам’ятку розроблено, опрацьовано та враховано у службовій діяльності</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13</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  Система внутрішнього контролю Національної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розголошення працівником поліції інформації про особу викривача під час складання адміністративних</w:t>
            </w:r>
          </w:p>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протоколів про правопорушення, пов’язаних з корупцією, шляхом долучення повідомлення викривача до матеріалів  адміністративного провадження</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4" w:right="-90" w:hanging="0"/>
              <w:rPr>
                <w:rFonts w:ascii="Times New Roman" w:hAnsi="Times New Roman"/>
                <w:sz w:val="14"/>
                <w:szCs w:val="14"/>
                <w:lang w:val="uk-UA"/>
              </w:rPr>
            </w:pPr>
            <w:r>
              <w:rPr>
                <w:rFonts w:ascii="Times New Roman" w:hAnsi="Times New Roman"/>
                <w:sz w:val="14"/>
                <w:szCs w:val="14"/>
                <w:lang w:val="uk-UA"/>
              </w:rPr>
              <w:t>Працівник поліції використовуючи службові повноваження та недосконалість внутрішньої  процедури (алгоритму) дій, маючи приватний інтерес, може розголосити зацікавленим особам дані про викривачів, які здійснили повідомлення про корупцію (без отримання їх згоди на це) шляхом долучення таких повідомлень до матеріалів, на підставі яких складаються  протоколи про адміністративні правопорушення пов’язаних з корупцією</w:t>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1.Недосконалість механізму контролю за опрацюванням матеріалів про адміністративні порушення</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працівників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1.Регламентована процедура оформлення адміністративних матеріалів.</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2"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2"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 xml:space="preserve">сер </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1.Розробка внутрішньої процедури (алгоритму) дій із визначення запобіжників, для усунення можливості розголошення працівниками поліції інформації про особу викривача (без отримання його згоди) під час здійснення процедури складання протоколів про адміністративні правопорушення, пов’язаних з корупцією</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2.Розробка пам’ятки щодо дотримання працівниками алгоритму дій із визначення запобіжників для усунення можливості розголошення інформації про особу викривача під час здійснення процедури складання протоколів про адмінпорушення, пов’язаних з корупцією</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 xml:space="preserve">3.Додатково попереджати працівників поліції про  відповідальність, яка настає за порушення антикорупційного законодавства </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30.10.22</w:t>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30.11.22</w:t>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ДСР</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ДСР</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ДСР</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ДСР</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t>Внутрішню  процедуру (алгоритм)</w:t>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t>дій розроблено</w:t>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t>Пам’ятку розроблено</w:t>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t>Попереджено  працівників поліції про  відповідальність, яка настає за порушення антикорупційного законодавства</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t>30.05.23</w:t>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30.05.23</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rPr>
            </w:pPr>
            <w:r>
              <w:rPr>
                <w:rFonts w:ascii="Times New Roman" w:hAnsi="Times New Roman"/>
                <w:sz w:val="14"/>
                <w:szCs w:val="14"/>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17"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 w:hanging="0"/>
              <w:jc w:val="both"/>
              <w:rPr>
                <w:rFonts w:ascii="Times New Roman" w:hAnsi="Times New Roman"/>
                <w:sz w:val="14"/>
                <w:szCs w:val="14"/>
                <w:lang w:val="uk-UA"/>
              </w:rPr>
            </w:pPr>
            <w:r>
              <w:rPr>
                <w:rFonts w:ascii="Times New Roman" w:hAnsi="Times New Roman"/>
                <w:sz w:val="14"/>
                <w:szCs w:val="14"/>
                <w:lang w:val="uk-UA"/>
              </w:rPr>
              <w:t xml:space="preserve">З метою усунення можливості розголошення працівниками поліції інформації про особу викривача (без отримання його згоди) під час здійснення процедури складання протоколів про адміністративні правопорушення, пов’язаних з корупцією, працівникам поліції, задіяних для складання адміністративних протоколів додатково проведені навчання про дотримання вимог статті 53-5 «Право викривача на конфіденційність та анонімність»  Закону України «Про запобігання корупції» (лист ДСР від 17.03.2023                № 3395/55/04-2023) </w:t>
            </w:r>
          </w:p>
          <w:p>
            <w:pPr>
              <w:pStyle w:val="Normal"/>
              <w:widowControl w:val="false"/>
              <w:spacing w:lineRule="auto" w:line="240" w:before="0" w:after="0"/>
              <w:ind w:left="10" w:hanging="0"/>
              <w:jc w:val="both"/>
              <w:rPr>
                <w:rFonts w:ascii="Times New Roman" w:hAnsi="Times New Roman"/>
                <w:bCs/>
                <w:sz w:val="14"/>
                <w:szCs w:val="14"/>
                <w:lang w:val="uk-UA"/>
              </w:rPr>
            </w:pPr>
            <w:r>
              <w:rPr>
                <w:rFonts w:ascii="Times New Roman" w:hAnsi="Times New Roman"/>
                <w:bCs/>
                <w:sz w:val="14"/>
                <w:szCs w:val="14"/>
                <w:lang w:val="uk-UA"/>
              </w:rPr>
              <w:t>Відповідна внутрішня процедура (алгоритм дій) розроблено (лист ДСР №6793/55/01-2023 від 30.05.2023)</w:t>
            </w:r>
          </w:p>
          <w:p>
            <w:pPr>
              <w:pStyle w:val="Normal"/>
              <w:widowControl w:val="false"/>
              <w:spacing w:lineRule="auto" w:line="240" w:before="0" w:after="0"/>
              <w:ind w:left="10" w:right="135" w:hanging="0"/>
              <w:jc w:val="both"/>
              <w:rPr>
                <w:rFonts w:ascii="Times New Roman" w:hAnsi="Times New Roman"/>
                <w:bCs/>
                <w:sz w:val="14"/>
                <w:szCs w:val="14"/>
                <w:lang w:val="uk-UA"/>
              </w:rPr>
            </w:pPr>
            <w:r>
              <w:rPr>
                <w:rFonts w:ascii="Times New Roman" w:hAnsi="Times New Roman"/>
                <w:bCs/>
                <w:sz w:val="14"/>
                <w:szCs w:val="14"/>
                <w:lang w:val="uk-UA"/>
              </w:rPr>
            </w:r>
          </w:p>
          <w:p>
            <w:pPr>
              <w:pStyle w:val="Normal"/>
              <w:widowControl w:val="false"/>
              <w:spacing w:lineRule="auto" w:line="240" w:before="0" w:after="0"/>
              <w:ind w:right="135" w:hanging="0"/>
              <w:jc w:val="both"/>
              <w:rPr>
                <w:rFonts w:ascii="Times New Roman" w:hAnsi="Times New Roman"/>
                <w:bCs/>
                <w:sz w:val="14"/>
                <w:szCs w:val="14"/>
                <w:lang w:val="uk-UA"/>
              </w:rPr>
            </w:pPr>
            <w:r>
              <w:rPr>
                <w:rFonts w:ascii="Times New Roman" w:hAnsi="Times New Roman"/>
                <w:bCs/>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Враховуючи що наразі відсутній порядок ведення Єдиного порталу повідомлень викривачів, а сам портал не функціонує, відсутній будь-який організаційно-розпорядчий чи інший нормативно-правовий акт яким би установлювався єдиний порядок визнання особи «викривачем корупції», а також порядок щодо збирання, зберігання, використання, захист, облік, пошук, узагальнення повідомлень викривачів, а також іншої інформації, в тому числі про статус викривачів, стан та результати розгляду повідомлень викривачів тощо, відповідна пам’ятка не розроблена.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метою унеможливлення даного корупційного ризику з територіальними (відокремленими) підрозділами проведено додаткове заняття щодо дотримання вимог статті535 «Право викривача на конфіденційність та анонімність» Закону України «Про запобігання корупції»</w:t>
            </w:r>
          </w:p>
          <w:p>
            <w:pPr>
              <w:pStyle w:val="Normal"/>
              <w:widowControl w:val="false"/>
              <w:spacing w:lineRule="auto" w:line="240" w:before="0" w:after="0"/>
              <w:ind w:left="10" w:right="7" w:hanging="0"/>
              <w:jc w:val="both"/>
              <w:rPr>
                <w:rFonts w:ascii="Times New Roman" w:hAnsi="Times New Roman"/>
                <w:bCs/>
                <w:sz w:val="14"/>
                <w:szCs w:val="14"/>
                <w:lang w:val="uk-UA"/>
              </w:rPr>
            </w:pPr>
            <w:r>
              <w:rPr>
                <w:rFonts w:ascii="Times New Roman" w:hAnsi="Times New Roman"/>
                <w:bCs/>
                <w:sz w:val="14"/>
                <w:szCs w:val="14"/>
                <w:lang w:val="uk-UA"/>
              </w:rPr>
              <w:t>Відповідну пам’ятку розроблено (лист ДСР  № 6792/55/01-2023 від 30.05.2023)</w:t>
            </w:r>
          </w:p>
          <w:p>
            <w:pPr>
              <w:pStyle w:val="Normal"/>
              <w:widowControl w:val="false"/>
              <w:spacing w:lineRule="auto" w:line="240" w:before="0" w:after="0"/>
              <w:ind w:left="10" w:right="7" w:hanging="0"/>
              <w:jc w:val="both"/>
              <w:rPr>
                <w:rFonts w:ascii="Times New Roman" w:hAnsi="Times New Roman"/>
                <w:bCs/>
                <w:sz w:val="14"/>
                <w:szCs w:val="14"/>
                <w:lang w:val="uk-UA"/>
              </w:rPr>
            </w:pPr>
            <w:r>
              <w:rPr>
                <w:rFonts w:ascii="Times New Roman" w:hAnsi="Times New Roman"/>
                <w:bCs/>
                <w:sz w:val="14"/>
                <w:szCs w:val="14"/>
                <w:lang w:val="uk-UA"/>
              </w:rPr>
            </w:r>
          </w:p>
          <w:p>
            <w:pPr>
              <w:pStyle w:val="Normal"/>
              <w:widowControl w:val="false"/>
              <w:spacing w:lineRule="auto" w:line="240" w:before="0" w:after="0"/>
              <w:ind w:left="10" w:right="7" w:hanging="0"/>
              <w:jc w:val="both"/>
              <w:rPr>
                <w:rFonts w:ascii="Times New Roman" w:hAnsi="Times New Roman"/>
                <w:bCs/>
                <w:sz w:val="14"/>
                <w:szCs w:val="14"/>
                <w:lang w:val="uk-UA"/>
              </w:rPr>
            </w:pPr>
            <w:r>
              <w:rPr>
                <w:rFonts w:ascii="Times New Roman" w:hAnsi="Times New Roman"/>
                <w:bCs/>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законодавства, у т.ч. антикорупційного. Додатковий  контроль рівня знань антикорупційного законодавства здійснюється при проведенні перевірки з визначення рівня службової підготовленості поліцейських (наказ НПУ від 25.08.2022),  а також під час організації службової підготовки поліцейських (наказ НПУ від 15.12.2021 № 1049).</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https://www.npu.gov.ua/pro-policiyu/zapobigannya-i-protidiya-korupciyi/vidpovidalnist-za-korupcijni-abo-povyazani-z-korupciyeyu-pravoporushennya</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z w:val="14"/>
                <w:szCs w:val="14"/>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Протягом 4 кварталу 2023 року проведено близько 53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т.ч., враховуючи наявні рішення Європейського суду з прав людини.</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bCs/>
                <w:iCs/>
                <w:sz w:val="14"/>
                <w:szCs w:val="14"/>
                <w:lang w:val="uk-UA"/>
              </w:rPr>
              <w:t>З метою надання методичної                                             та консультаційної допомоги</w:t>
            </w:r>
            <w:r>
              <w:rPr>
                <w:bCs/>
                <w:iCs/>
                <w:lang w:val="uk-UA"/>
              </w:rPr>
              <w:t xml:space="preserve"> </w:t>
            </w:r>
            <w:r>
              <w:rPr>
                <w:rFonts w:ascii="Times New Roman" w:hAnsi="Times New Roman"/>
                <w:bCs/>
                <w:iCs/>
                <w:sz w:val="14"/>
                <w:szCs w:val="14"/>
                <w:lang w:val="uk-UA"/>
              </w:rPr>
              <w:t>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r>
              <w:rPr>
                <w:rFonts w:ascii="Times New Roman" w:hAnsi="Times New Roman"/>
                <w:spacing w:val="-8"/>
                <w:sz w:val="14"/>
                <w:szCs w:val="14"/>
                <w:shd w:fill="FFFFFF" w:val="clear"/>
                <w:lang w:val="uk-UA" w:eastAsia="ru-RU"/>
              </w:rPr>
              <w:t xml:space="preserve">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14</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  Система внутрішнього контролю Національної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прийняття рішення працівником поліції в умовах конфлікту інтересів при   проведенні службових розслідувань чи при розгляді заяв, скарг громадян</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 xml:space="preserve">Можливість прийняття рішення, з метою задоволення приватного інтересу, працівником поліції під час проведення службових розслідувань чи при розгляді заяв, скарг громадян в умовах конфлікту інтересів який особа може не визначити чи приховати          </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врегульованість  внутрішніх організаційно-нормативних актів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працівників поліції</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3.Приватний інтерес  працівників поліції</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4. Можлива необізнаність працівників поліції щодо вимог антикорупційного законодавства</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1.Ознайомлення працівників з методичними рекомендаціями, розробленими НАЗК, УЗК, щодо запобігання та врегулювання конфлікту інтересів</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2.Проводяться навчання із  доведенням типових ситуацій наявності потенційного чи реального конфлікту інтересів, шляхи їх вирішення, роз’яснення стосовно недопущення порушень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03"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1. З метою провадження нових механізмів і практик, визначення (запобігання) конфлікту інтересів серед працівників поліції, у т.ч. під час проведення службових розслідувань чи при розгляді заяв, скарг громадян, вдосконалення відстеження переміщення особи по підрозділам поліції, у т.ч. з можливістю встановлення «відмітки» про заборону на призначення у склад відповідних комісій, чи прийняття участі у розгляді заяв, скарг громадян, надати пропозиції до НАЗК про створення модулю визначення (запобігання) конфлікту інтересів (порівняння посадових обов’язків), близьких осіб (реєстр: повідомлень, урегулювань, роботи близьких осіб)</w:t>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2.Проведення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3.Розробка пам’ятки, щодо недопущення прийняття рішення працівником поліції в умовах конфлікту інтересів при   проведенні службових розслідувань чи при розгляді заяв, скарг громадян, з попередженням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30.04.22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15.05.22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9" w:right="-107" w:hanging="0"/>
              <w:rPr>
                <w:rFonts w:ascii="Times New Roman" w:hAnsi="Times New Roman"/>
                <w:sz w:val="12"/>
                <w:szCs w:val="12"/>
                <w:lang w:val="uk-UA"/>
              </w:rPr>
            </w:pPr>
            <w:r>
              <w:rPr>
                <w:rFonts w:ascii="Times New Roman" w:hAnsi="Times New Roman"/>
                <w:sz w:val="12"/>
                <w:szCs w:val="12"/>
                <w:lang w:val="uk-UA"/>
              </w:rPr>
              <w:t>ДГІДПЛ</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ЦА</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Надання пропозицій до НАЗК про створення модулю визначення (запобігання) конфлікту інтересів</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Розроблено  відповідні пам’ятки</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6" w:right="-108" w:hanging="0"/>
              <w:jc w:val="center"/>
              <w:rPr>
                <w:rFonts w:ascii="Times New Roman" w:hAnsi="Times New Roman"/>
                <w:sz w:val="14"/>
                <w:szCs w:val="14"/>
                <w:lang w:val="uk-UA"/>
              </w:rPr>
            </w:pPr>
            <w:r>
              <w:rPr>
                <w:rFonts w:ascii="Times New Roman" w:hAnsi="Times New Roman"/>
                <w:sz w:val="14"/>
                <w:szCs w:val="14"/>
                <w:lang w:val="uk-UA"/>
              </w:rPr>
              <w:t>31.03.23</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8" w:hanging="0"/>
              <w:jc w:val="center"/>
              <w:rPr>
                <w:rFonts w:ascii="Times New Roman" w:hAnsi="Times New Roman"/>
                <w:sz w:val="14"/>
                <w:szCs w:val="14"/>
                <w:lang w:val="uk-UA"/>
              </w:rPr>
            </w:pPr>
            <w:r>
              <w:rPr>
                <w:rFonts w:ascii="Times New Roman" w:hAnsi="Times New Roman"/>
                <w:sz w:val="14"/>
                <w:szCs w:val="14"/>
                <w:lang w:val="uk-UA"/>
              </w:rPr>
              <w:t>14.10.22</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метою розробки модулю визначення (запобігання) конфлікту інтересів при спільній роботі близьких осіб, при прийнятті чи  звільненні  їх з роботи, у НПУ створена спільна робоча група  із працівників НПУ та НАЗК (наказ НПУ від 30.12.2022 № 944)</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Дорученням т.в.о. Голови НПУ від 06.03.2023 №2021/01/47-2023 керівників структурних підрозділів НПУ зобов’язано використовувати при проведенні службових розслідувань методичні рекомендації від 06.03.2023 №2021/01/47-2023, розроблені УЗК.</w:t>
            </w:r>
          </w:p>
          <w:p>
            <w:pPr>
              <w:pStyle w:val="NormalWeb"/>
              <w:widowControl w:val="false"/>
              <w:shd w:val="clear" w:color="auto" w:fill="FFFFFF"/>
              <w:tabs>
                <w:tab w:val="clear" w:pos="708"/>
                <w:tab w:val="left" w:pos="567" w:leader="none"/>
              </w:tabs>
              <w:spacing w:beforeAutospacing="0" w:before="0" w:afterAutospacing="0" w:after="0"/>
              <w:jc w:val="both"/>
              <w:textAlignment w:val="baseline"/>
              <w:rPr>
                <w:sz w:val="14"/>
                <w:szCs w:val="14"/>
                <w:lang w:val="uk-UA"/>
              </w:rPr>
            </w:pPr>
            <w:r>
              <w:rPr>
                <w:sz w:val="14"/>
                <w:szCs w:val="14"/>
                <w:lang w:val="uk-UA"/>
              </w:rPr>
              <w:t xml:space="preserve">Наразі підготовлена концепція розроблення та впровадження ІП «Корупція» та досягнуто попереднє узгодження з ДІАП НПУ про запуск розробки ІП «Корупція» після завершення проєкту </w:t>
            </w:r>
            <w:r>
              <w:rPr>
                <w:sz w:val="14"/>
                <w:szCs w:val="14"/>
                <w:lang w:val="en-GB"/>
              </w:rPr>
              <w:t>SOCTA</w:t>
            </w:r>
            <w:r>
              <w:rPr>
                <w:sz w:val="14"/>
                <w:szCs w:val="14"/>
                <w:lang w:val="uk-UA"/>
              </w:rPr>
              <w:t>.</w:t>
            </w:r>
          </w:p>
          <w:p>
            <w:pPr>
              <w:pStyle w:val="Normal"/>
              <w:widowControl w:val="false"/>
              <w:spacing w:lineRule="auto" w:line="240" w:before="0" w:after="0"/>
              <w:ind w:left="10" w:hanging="0"/>
              <w:jc w:val="both"/>
              <w:rPr>
                <w:rFonts w:ascii="Times New Roman" w:hAnsi="Times New Roman"/>
                <w:sz w:val="14"/>
                <w:szCs w:val="14"/>
                <w:lang w:val="uk-UA" w:eastAsia="ru-RU"/>
              </w:rPr>
            </w:pPr>
            <w:r>
              <w:rPr>
                <w:rFonts w:ascii="Times New Roman" w:hAnsi="Times New Roman"/>
                <w:sz w:val="14"/>
                <w:szCs w:val="14"/>
                <w:lang w:val="uk-UA" w:eastAsia="ru-RU"/>
              </w:rPr>
              <w:t xml:space="preserve">Після введення в експлуатації програмного забезпечення «МІА»:Документообіг» із  модулем ІП «Корупція», буде забезпечено </w:t>
            </w:r>
            <w:r>
              <w:rPr>
                <w:rFonts w:ascii="Times New Roman" w:hAnsi="Times New Roman"/>
                <w:spacing w:val="-8"/>
                <w:sz w:val="14"/>
                <w:szCs w:val="14"/>
                <w:shd w:fill="FFFFFF" w:val="clear"/>
                <w:lang w:val="uk-UA" w:eastAsia="ru-RU"/>
              </w:rPr>
              <w:t xml:space="preserve">визначення (запобігання) конфлікту інтересів </w:t>
            </w:r>
            <w:r>
              <w:rPr>
                <w:rFonts w:ascii="Times New Roman" w:hAnsi="Times New Roman"/>
                <w:sz w:val="14"/>
                <w:szCs w:val="14"/>
                <w:lang w:val="uk-UA" w:eastAsia="ru-RU"/>
              </w:rPr>
              <w:t>(порівняння посадових обов’язків), близьких осіб (реєстр: повідомлень, урегулювань, роботи близьких осіб) тощо.</w:t>
            </w:r>
          </w:p>
          <w:p>
            <w:pPr>
              <w:pStyle w:val="Normal"/>
              <w:widowControl w:val="false"/>
              <w:tabs>
                <w:tab w:val="clear" w:pos="708"/>
                <w:tab w:val="left" w:pos="567" w:leader="none"/>
                <w:tab w:val="left" w:pos="4288" w:leader="none"/>
              </w:tabs>
              <w:spacing w:lineRule="auto" w:line="240" w:before="0" w:after="0"/>
              <w:ind w:right="34" w:hanging="62"/>
              <w:jc w:val="both"/>
              <w:rPr>
                <w:rFonts w:ascii="Times New Roman" w:hAnsi="Times New Roman"/>
                <w:sz w:val="14"/>
                <w:szCs w:val="14"/>
                <w:lang w:val="uk-UA" w:eastAsia="ru-RU"/>
              </w:rPr>
            </w:pPr>
            <w:r>
              <w:rPr>
                <w:rFonts w:ascii="Times New Roman" w:hAnsi="Times New Roman"/>
                <w:sz w:val="14"/>
                <w:szCs w:val="14"/>
                <w:lang w:val="uk-UA" w:eastAsia="ru-RU"/>
              </w:rPr>
              <w:t xml:space="preserve"> </w:t>
            </w:r>
            <w:r>
              <w:rPr>
                <w:rFonts w:ascii="Times New Roman" w:hAnsi="Times New Roman"/>
                <w:sz w:val="14"/>
                <w:szCs w:val="14"/>
                <w:lang w:val="uk-UA" w:eastAsia="ru-RU"/>
              </w:rPr>
              <w:t xml:space="preserve">У зв’язку із відсутністю технічної можливості розроблення ІП Корупція та адаптування виконання вказаного заходу під актуальні інструменти, виконання вказаного заходу забезпечено шляхом наповнення Модулю «Кадри Національної поліції» програмного забезпечення «МІА» відомостями про роботу близьких осіб з перспективою подальшого інтегрування із  програмним забезпечення «МІА»: Документообіг» задля </w:t>
            </w:r>
            <w:r>
              <w:rPr>
                <w:rFonts w:ascii="Times New Roman" w:hAnsi="Times New Roman"/>
                <w:spacing w:val="-8"/>
                <w:sz w:val="14"/>
                <w:szCs w:val="14"/>
                <w:shd w:fill="FFFFFF" w:val="clear"/>
                <w:lang w:val="uk-UA" w:eastAsia="ru-RU"/>
              </w:rPr>
              <w:t xml:space="preserve">визначення (запобігання) конфлікту інтересів </w:t>
            </w:r>
            <w:r>
              <w:rPr>
                <w:rFonts w:ascii="Times New Roman" w:hAnsi="Times New Roman"/>
                <w:sz w:val="14"/>
                <w:szCs w:val="14"/>
                <w:lang w:val="uk-UA" w:eastAsia="ru-RU"/>
              </w:rPr>
              <w:t>(порівняння посадових обов’язків), близьких</w:t>
            </w:r>
            <w:r>
              <w:rPr>
                <w:lang w:val="uk-UA" w:eastAsia="ru-RU"/>
              </w:rPr>
              <w:t xml:space="preserve"> </w:t>
            </w:r>
            <w:r>
              <w:rPr>
                <w:rFonts w:ascii="Times New Roman" w:hAnsi="Times New Roman"/>
                <w:sz w:val="14"/>
                <w:szCs w:val="14"/>
                <w:lang w:val="uk-UA" w:eastAsia="ru-RU"/>
              </w:rPr>
              <w:t>осіб (реєстр: повідомлень, урегулювань, роботи близьких осіб) тощо.</w:t>
            </w:r>
          </w:p>
          <w:p>
            <w:pPr>
              <w:pStyle w:val="Normal"/>
              <w:widowControl w:val="false"/>
              <w:tabs>
                <w:tab w:val="clear" w:pos="708"/>
                <w:tab w:val="left" w:pos="567" w:leader="none"/>
                <w:tab w:val="left" w:pos="4288" w:leader="none"/>
              </w:tabs>
              <w:spacing w:lineRule="auto" w:line="240"/>
              <w:ind w:right="34" w:hanging="62"/>
              <w:jc w:val="both"/>
              <w:rPr>
                <w:rFonts w:ascii="Times New Roman" w:hAnsi="Times New Roman"/>
                <w:sz w:val="14"/>
                <w:szCs w:val="14"/>
                <w:lang w:val="uk-UA" w:eastAsia="ru-RU"/>
              </w:rPr>
            </w:pPr>
            <w:r>
              <w:rPr>
                <w:rFonts w:ascii="Times New Roman" w:hAnsi="Times New Roman"/>
                <w:sz w:val="14"/>
                <w:szCs w:val="14"/>
                <w:lang w:val="uk-UA" w:eastAsia="ru-RU"/>
              </w:rPr>
              <w:t xml:space="preserve"> </w:t>
            </w:r>
            <w:r>
              <w:rPr>
                <w:rFonts w:ascii="Times New Roman" w:hAnsi="Times New Roman"/>
                <w:sz w:val="14"/>
                <w:szCs w:val="14"/>
                <w:lang w:val="uk-UA" w:eastAsia="ru-RU"/>
              </w:rPr>
              <w:t>Додатково розроблено телеграм бот «Конфлікт інтересів» @KonfliktInteresivBot , який надає можливість попередньо оцінити наявність/відсутність конфлікту інтересів під час виконання повноважень у процесуальний та позапроцесуальний способи.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т.ч., враховуючи наявні рішення Європейського суду з прав людини.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Розроблена відповідна форма пам’ятки щодо недопущення прийняття рішення працівником поліції в умовах конфлікту інтересів при   проведенні службових розслідувань чи при розгляді заяв, скарг громадян, з попередженням про відповідальність, яка настає за порушення антикорупційного законодавства (доповідна УЗК НПУ від 14.10.2022  № 26269)</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Запроваджено проведення самостійного тестування працівників на наявність (відсутність) конфлікту інтересів відповідно до Методичних рекомендацій щодо запобігання та врегулювання конфлікту інтересів, затверджених Рішенням Нацагентства з питань запобігання корупції від 02.04.2021 № 5</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З метою додаткових деталізованих роз’яснень в окремих ситуаціях, підготовлено рекомендації з окремих питань щодо запобігання та врегулювання конфлікту інтересів під час   проведення службових розслідувань</w:t>
            </w:r>
            <w:r>
              <w:rPr>
                <w:rFonts w:ascii="Times New Roman" w:hAnsi="Times New Roman"/>
                <w:sz w:val="14"/>
                <w:szCs w:val="14"/>
                <w:lang w:val="uk-UA" w:eastAsia="zh-CN"/>
              </w:rPr>
              <w:t xml:space="preserve"> стосовно поліцейських </w:t>
            </w:r>
            <w:r>
              <w:rPr>
                <w:rFonts w:ascii="Times New Roman" w:hAnsi="Times New Roman"/>
                <w:sz w:val="14"/>
                <w:szCs w:val="14"/>
                <w:lang w:val="uk-UA"/>
              </w:rPr>
              <w:t>(доповідна УЗК НПУ від 04.04.2023 ДДЗ № 11666).</w:t>
            </w:r>
          </w:p>
          <w:p>
            <w:pPr>
              <w:pStyle w:val="Normal"/>
              <w:widowControl w:val="false"/>
              <w:spacing w:lineRule="auto" w:line="240" w:before="0" w:after="0"/>
              <w:jc w:val="both"/>
              <w:rPr>
                <w:rFonts w:ascii="Times New Roman" w:hAnsi="Times New Roman"/>
                <w:bCs/>
                <w:sz w:val="14"/>
                <w:szCs w:val="14"/>
                <w:lang w:val="uk-UA"/>
              </w:rPr>
            </w:pPr>
            <w:r>
              <w:rPr>
                <w:rFonts w:ascii="Times New Roman" w:hAnsi="Times New Roman"/>
                <w:bCs/>
                <w:sz w:val="14"/>
                <w:szCs w:val="14"/>
                <w:lang w:val="uk-UA"/>
              </w:rPr>
              <w:t>Розроблені методичні рекомендації щодо алгоритму дій керівників органів (підрозділів) поліції при прийнятті управлінських рішень в ході розгляду (надання доручень стосовно розгляду) скарг громадян, які надійшли до органів (підрозділів) НПУ, з метою дотримання цими посадовими особами вимог ст. 28 ЗУ «Про запобігання корупції (вих. від                           09.05.2023 № 16404)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15</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  Система внутрішнього контролю Національної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 неправомірні дії працівників поліції з інформацією інтегрованих баз даних НПУ та ГУНП в системі «Інформаційний портал Національної поліції України» (далі – система ІПНП) з можливістю подальшого її використання у приватних інтересах, у т.ч. з метою отримання неправомірної вигоди від третіх осіб</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Можливість отримання працівниками поліції під час перебування у відпустках/лікарняних інформації та персональних даних громадян із системи ІПНП  з подальшим використанням її у приватних інтересах та можливістю її неправомірного розповсюдження</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система відомчого контролю  за процесом роботи з інформацією в системі ІПНП та  подальшим її використанням</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працівників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firstLine="142"/>
              <w:rPr>
                <w:rFonts w:ascii="Times New Roman" w:hAnsi="Times New Roman"/>
                <w:sz w:val="14"/>
                <w:szCs w:val="14"/>
                <w:lang w:val="uk-UA"/>
              </w:rPr>
            </w:pPr>
            <w:r>
              <w:rPr>
                <w:rFonts w:ascii="Times New Roman" w:hAnsi="Times New Roman"/>
                <w:sz w:val="14"/>
                <w:szCs w:val="14"/>
                <w:lang w:val="uk-UA"/>
              </w:rPr>
              <w:t>1. Розроблено та введено у дію накази НПУ щодо введення комплексної системи захисту інформації в системі ІПНП та заборони користування ресурсами системи ІПНП в період знаходження працівника поліції у відпустці.</w:t>
            </w:r>
          </w:p>
          <w:p>
            <w:pPr>
              <w:pStyle w:val="Normal"/>
              <w:widowControl w:val="false"/>
              <w:spacing w:lineRule="auto" w:line="240" w:before="0" w:after="0"/>
              <w:ind w:left="-13" w:right="-96" w:firstLine="142"/>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firstLine="142"/>
              <w:rPr>
                <w:rFonts w:ascii="Times New Roman" w:hAnsi="Times New Roman"/>
                <w:sz w:val="14"/>
                <w:szCs w:val="14"/>
                <w:lang w:val="uk-UA"/>
              </w:rPr>
            </w:pPr>
            <w:r>
              <w:rPr>
                <w:rFonts w:ascii="Times New Roman" w:hAnsi="Times New Roman"/>
                <w:sz w:val="14"/>
                <w:szCs w:val="14"/>
                <w:lang w:val="uk-UA"/>
              </w:rPr>
              <w:t xml:space="preserve">2. Розроблено спеціалізований безпековий модуль програмного забезпечення, функціональні можливості якого дозволяють обмежувати будь-який доступ до інформаційних ресурсів системи ІПНП легітимним користувачам на певний період часу (відпустки, лікарняний) </w:t>
            </w:r>
          </w:p>
          <w:p>
            <w:pPr>
              <w:pStyle w:val="Normal"/>
              <w:widowControl w:val="false"/>
              <w:spacing w:lineRule="auto" w:line="240" w:before="0" w:after="0"/>
              <w:ind w:left="-13" w:right="-96" w:firstLine="142"/>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firstLine="142"/>
              <w:rPr>
                <w:rFonts w:ascii="Times New Roman" w:hAnsi="Times New Roman"/>
                <w:sz w:val="14"/>
                <w:szCs w:val="14"/>
                <w:lang w:val="uk-UA"/>
              </w:rPr>
            </w:pPr>
            <w:r>
              <w:rPr>
                <w:rFonts w:ascii="Times New Roman" w:hAnsi="Times New Roman"/>
                <w:sz w:val="14"/>
                <w:szCs w:val="14"/>
                <w:lang w:val="uk-UA"/>
              </w:rPr>
              <w:t>3.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антикорупційного законодавства</w:t>
            </w:r>
          </w:p>
          <w:p>
            <w:pPr>
              <w:pStyle w:val="Normal"/>
              <w:widowControl w:val="false"/>
              <w:spacing w:lineRule="auto" w:line="240" w:before="0" w:after="0"/>
              <w:ind w:left="-13" w:right="-96" w:firstLine="142"/>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firstLine="142"/>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firstLine="142"/>
              <w:rPr>
                <w:rFonts w:ascii="Times New Roman" w:hAnsi="Times New Roman"/>
                <w:sz w:val="14"/>
                <w:szCs w:val="14"/>
                <w:lang w:val="uk-UA"/>
              </w:rPr>
            </w:pPr>
            <w:r>
              <w:rPr>
                <w:rFonts w:ascii="Times New Roman" w:hAnsi="Times New Roman"/>
                <w:sz w:val="14"/>
                <w:szCs w:val="14"/>
                <w:lang w:val="uk-UA"/>
              </w:rPr>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3</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1.З метою виключення можливості безпідставної роботи працівників поліції з інформацією в системі ІПНП під час перебування у відпустках, лікарняних та протидії витоку службової інформації, розробити інструкцію з обов’язкового блокування доступу користувачів до системи ІПНП на період перебування їх у відпустці чи на лікарняному, з визначенням відповідальних за це підрозділів (посадових осіб) та конкретних термінів надання відповідної інформації до підрозділів ДІАП</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2.Провести моніторинг використання системи ІПНП працівниками поліції</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3.Розробка методичних рекомендацій (інструкції) порядку проведення щомісячних звірок використання працівниками поліції отриманої в системі ІПНП інформації</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4.Провести звірки  тимчасово відсутніх осіб та блокування їм доступу до системи ІПНП</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30.06.22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30.06.22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Місяць</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ДІАП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ДІАП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ДІАП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ДІАП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Алгоритм розроблено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Моніторинг проведено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Розроблені відповідні методичні рекомендації порядку проведення щомісячних звірок</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Звірки проведено, забезпечено блокування доступу до системи ІПНП</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43" w:right="-122" w:hanging="0"/>
              <w:jc w:val="center"/>
              <w:rPr>
                <w:rFonts w:ascii="Times New Roman" w:hAnsi="Times New Roman"/>
                <w:sz w:val="14"/>
                <w:szCs w:val="14"/>
                <w:lang w:val="uk-UA"/>
              </w:rPr>
            </w:pPr>
            <w:r>
              <w:rPr>
                <w:rFonts w:ascii="Times New Roman" w:hAnsi="Times New Roman"/>
                <w:sz w:val="14"/>
                <w:szCs w:val="14"/>
                <w:lang w:val="uk-UA"/>
              </w:rPr>
              <w:t>30.06.22</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0" w:right="-122" w:hanging="0"/>
              <w:jc w:val="center"/>
              <w:rPr>
                <w:rFonts w:ascii="Times New Roman" w:hAnsi="Times New Roman"/>
                <w:sz w:val="14"/>
                <w:szCs w:val="14"/>
                <w:lang w:val="uk-UA"/>
              </w:rPr>
            </w:pPr>
            <w:r>
              <w:rPr>
                <w:rFonts w:ascii="Times New Roman" w:hAnsi="Times New Roman"/>
                <w:sz w:val="14"/>
                <w:szCs w:val="14"/>
                <w:lang w:val="uk-UA"/>
              </w:rPr>
              <w:t>12.12.22</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Реалізовано внесення змін до програмного забезпечення інформаційної  підсистеми «Облік відсутніх працівників) (який інтегрований до ІКС «Інформаційний портал Національної поліції України», в частині обмеження доступу до ресурсів ІКС «ІПНП» в період перебування на лікарняному користувача (доповідна записка ДІАП НПУ від 24.01.20222 №2395)</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На виконання протоколу № 8 наради керівництва НПУ від 08.03.2023, постійно проводяться заходи щодо вивчення працівниками поліції вимог кібергігієни при користуванні як службовими так і особистими мобільними пристроями та персональними комп’ютерами.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08.03.2023 на базі навчальної платформи з кібергігієни МВС проведено онлайн заняття з основ кібергігієни.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Моніторинг використання системи ІПНП працівниками поліції проводиться постійно, у т.ч. у межах запитів правоохоронних органів (ДВБ, ДБР, ГПУ) надаються відомості щодо дій користувачів. З 1 півріччя 2022 року опрацьовано понад 30 запитів. Упродовж 2022 року опрацьовано понад 115 запитів правоохоронних органів (ДВБ, ДБР, ГПУ) щодо надання інформації про дії користувачів в ІКС «ІПНП». За результатами проведених службових розслідувань по встановленим фактам інформаційної безпеки 23 поліцейських притягнуто до дисциплінарної відповідальності у т.ч. 2 звільнення із НПУ (ГУНП м. Київ,) та 2 поліцейських попереджено про неповну службову відповідність (ГУНП в Дніпропетровській області) та 19 поліцейським оголошено зауваження</w:t>
            </w:r>
          </w:p>
          <w:p>
            <w:pPr>
              <w:pStyle w:val="Normal"/>
              <w:widowControl w:val="false"/>
              <w:spacing w:lineRule="auto" w:line="240" w:before="0" w:after="0"/>
              <w:jc w:val="both"/>
              <w:rPr>
                <w:rFonts w:ascii="Times New Roman" w:hAnsi="Times New Roman"/>
                <w:spacing w:val="-4"/>
                <w:sz w:val="14"/>
                <w:szCs w:val="14"/>
                <w:lang w:val="uk-UA"/>
              </w:rPr>
            </w:pPr>
            <w:r>
              <w:rPr>
                <w:rFonts w:ascii="Times New Roman" w:hAnsi="Times New Roman"/>
                <w:sz w:val="14"/>
                <w:szCs w:val="14"/>
                <w:lang w:val="uk-UA"/>
              </w:rPr>
              <w:t>Упродовж 3 кварталу 2023 року опрацьовано понад 97  запитів правоохоронних органів (ДВБ, ДБР, ГПУ) щодо надання інформації про дії користувачів в системі «ІПНП».</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w:t>
            </w:r>
            <w:r>
              <w:rPr>
                <w:rFonts w:eastAsia="Calibri" w:ascii="Times New Roman" w:hAnsi="Times New Roman"/>
                <w:sz w:val="14"/>
                <w:szCs w:val="14"/>
                <w:lang w:val="uk-UA"/>
              </w:rPr>
              <w:t>рацівниками ДІАП, на одному з веб-ресурсів мережі Інтернет, виявлено фотографію зроблену з монітора персонального комп’ютера на якому виведена інформація з інформаційної підсистеми «Адмінпрактика» системи ІПНП, щодо притягнення особи до адміністративної відповідальності.</w:t>
            </w:r>
            <w:r>
              <w:rPr>
                <w:rFonts w:ascii="Times New Roman" w:hAnsi="Times New Roman"/>
                <w:sz w:val="14"/>
                <w:szCs w:val="14"/>
                <w:lang w:val="uk-UA"/>
              </w:rPr>
              <w:t xml:space="preserve"> </w:t>
            </w:r>
            <w:r>
              <w:rPr>
                <w:rFonts w:eastAsia="Calibri" w:ascii="Times New Roman" w:hAnsi="Times New Roman"/>
                <w:sz w:val="14"/>
                <w:szCs w:val="14"/>
                <w:lang w:val="uk-UA"/>
              </w:rPr>
              <w:t xml:space="preserve">В ході аналізу даного інциденту та log-файлів дій користувачів в системі ІПНП, виявлено користувача з логіном візуально схожим, як на фотозображенні, даний логін закріплено за </w:t>
            </w:r>
            <w:r>
              <w:rPr>
                <w:rFonts w:ascii="Times New Roman" w:hAnsi="Times New Roman"/>
                <w:sz w:val="14"/>
                <w:szCs w:val="14"/>
                <w:lang w:val="uk-UA"/>
              </w:rPr>
              <w:t>працівником ВП ГУНП</w:t>
            </w:r>
            <w:r>
              <w:rPr>
                <w:rFonts w:eastAsia="Calibri" w:ascii="Times New Roman" w:hAnsi="Times New Roman"/>
                <w:sz w:val="14"/>
                <w:szCs w:val="14"/>
                <w:lang w:val="uk-UA"/>
              </w:rPr>
              <w:t xml:space="preserve"> в Івано-Франківській області. Проведено службове розслідування, користувачів системи ІПНП притягнуто до відповідальності.</w:t>
            </w:r>
          </w:p>
          <w:p>
            <w:pPr>
              <w:pStyle w:val="Normal"/>
              <w:widowControl w:val="false"/>
              <w:spacing w:lineRule="auto" w:line="240" w:before="0" w:after="0"/>
              <w:jc w:val="both"/>
              <w:rPr>
                <w:rFonts w:ascii="Times New Roman" w:hAnsi="Times New Roman"/>
                <w:sz w:val="14"/>
                <w:szCs w:val="14"/>
                <w:lang w:val="ru-RU"/>
              </w:rPr>
            </w:pPr>
            <w:r>
              <w:rPr>
                <w:rFonts w:ascii="Times New Roman" w:hAnsi="Times New Roman"/>
                <w:sz w:val="14"/>
                <w:szCs w:val="14"/>
                <w:lang w:val="uk-UA"/>
              </w:rPr>
              <w:t>Також</w:t>
            </w:r>
            <w:r>
              <w:rPr>
                <w:rFonts w:eastAsia="Calibri" w:ascii="Times New Roman" w:hAnsi="Times New Roman"/>
                <w:sz w:val="14"/>
                <w:szCs w:val="14"/>
                <w:lang w:val="uk-UA"/>
              </w:rPr>
              <w:t xml:space="preserve"> ДІАП виявлялись факти безпідставних перевірок за обліками системи ІПНП керівництва держави,</w:t>
            </w:r>
            <w:r>
              <w:rPr>
                <w:rFonts w:ascii="Times New Roman" w:hAnsi="Times New Roman"/>
                <w:sz w:val="14"/>
                <w:szCs w:val="14"/>
                <w:lang w:val="uk-UA"/>
              </w:rPr>
              <w:t xml:space="preserve"> НПУ та МВС</w:t>
            </w:r>
            <w:r>
              <w:rPr>
                <w:rFonts w:eastAsia="Calibri" w:ascii="Times New Roman" w:hAnsi="Times New Roman"/>
                <w:sz w:val="14"/>
                <w:szCs w:val="14"/>
                <w:lang w:val="uk-UA"/>
              </w:rPr>
              <w:t xml:space="preserve">. По всім фактам проведено службові розслідування, винних притягнуто до відповідальності. </w:t>
            </w:r>
          </w:p>
          <w:p>
            <w:pPr>
              <w:pStyle w:val="Normal"/>
              <w:widowControl w:val="false"/>
              <w:spacing w:lineRule="auto" w:line="240" w:before="0" w:after="0"/>
              <w:jc w:val="both"/>
              <w:rPr>
                <w:rFonts w:ascii="Times New Roman" w:hAnsi="Times New Roman"/>
                <w:sz w:val="14"/>
                <w:szCs w:val="14"/>
                <w:lang w:val="ru-RU"/>
              </w:rPr>
            </w:pPr>
            <w:r>
              <w:rPr>
                <w:rFonts w:ascii="Times New Roman" w:hAnsi="Times New Roman"/>
                <w:sz w:val="14"/>
                <w:szCs w:val="14"/>
                <w:lang w:val="ru-RU"/>
              </w:rPr>
              <w:t>Крім цього</w:t>
            </w:r>
            <w:r>
              <w:rPr>
                <w:rFonts w:eastAsia="Calibri" w:ascii="Times New Roman" w:hAnsi="Times New Roman"/>
                <w:sz w:val="14"/>
                <w:szCs w:val="14"/>
                <w:lang w:val="uk-UA"/>
              </w:rPr>
              <w:t xml:space="preserve"> рамках вим</w:t>
            </w:r>
            <w:r>
              <w:rPr>
                <w:rFonts w:ascii="Times New Roman" w:hAnsi="Times New Roman"/>
                <w:sz w:val="14"/>
                <w:szCs w:val="14"/>
                <w:lang w:val="ru-RU"/>
              </w:rPr>
              <w:t xml:space="preserve">ог договору від 18.09.2023 року </w:t>
            </w:r>
            <w:r>
              <w:rPr>
                <w:rFonts w:eastAsia="Calibri" w:ascii="Times New Roman" w:hAnsi="Times New Roman"/>
                <w:sz w:val="14"/>
                <w:szCs w:val="14"/>
                <w:lang w:val="uk-UA"/>
              </w:rPr>
              <w:t>№ 2423/23 ТОВ «ГРУПА ІНФОРМАЦІЙНОЇ БЕЗПЕКИ «ФС ГРУП», у грудні 2023 року проведено аналіз протиправної активності в мережі Інтернет на предмет виявлення фактів продажі інформації з обмеженим доступом з інформаційних ресурсів центральних органів виконавчої влади. Підготовлено доповідну записку на ім</w:t>
            </w:r>
            <w:r>
              <w:rPr>
                <w:rFonts w:eastAsia="Calibri" w:ascii="Times New Roman" w:hAnsi="Times New Roman"/>
                <w:sz w:val="14"/>
                <w:szCs w:val="14"/>
                <w:lang w:val="ru-RU"/>
              </w:rPr>
              <w:t>’</w:t>
            </w:r>
            <w:r>
              <w:rPr>
                <w:rFonts w:eastAsia="Calibri" w:ascii="Times New Roman" w:hAnsi="Times New Roman"/>
                <w:sz w:val="14"/>
                <w:szCs w:val="14"/>
                <w:lang w:val="uk-UA"/>
              </w:rPr>
              <w:t xml:space="preserve">я Голови НПУ від </w:t>
            </w:r>
            <w:r>
              <w:rPr>
                <w:rFonts w:eastAsia="Calibri" w:ascii="Times New Roman" w:hAnsi="Times New Roman"/>
                <w:sz w:val="14"/>
                <w:szCs w:val="14"/>
                <w:lang w:val="ru-RU"/>
              </w:rPr>
              <w:t>1</w:t>
            </w:r>
            <w:r>
              <w:rPr>
                <w:rFonts w:ascii="Times New Roman" w:hAnsi="Times New Roman"/>
                <w:sz w:val="14"/>
                <w:szCs w:val="14"/>
                <w:lang w:val="ru-RU"/>
              </w:rPr>
              <w:t xml:space="preserve">3.12.2023 </w:t>
            </w:r>
            <w:r>
              <w:rPr>
                <w:rFonts w:eastAsia="Calibri" w:ascii="Times New Roman" w:hAnsi="Times New Roman"/>
                <w:sz w:val="14"/>
                <w:szCs w:val="14"/>
                <w:lang w:val="uk-UA"/>
              </w:rPr>
              <w:t>№ СЕД-12059-2023, наразі ДВБ проводиться перевірка по факту викладеному в доповідній.</w:t>
            </w:r>
          </w:p>
          <w:p>
            <w:pPr>
              <w:pStyle w:val="Normal"/>
              <w:widowControl w:val="false"/>
              <w:spacing w:lineRule="auto" w:line="240" w:before="0" w:after="0"/>
              <w:jc w:val="both"/>
              <w:rPr>
                <w:rFonts w:ascii="Times New Roman" w:hAnsi="Times New Roman"/>
                <w:spacing w:val="-4"/>
                <w:sz w:val="14"/>
                <w:szCs w:val="14"/>
                <w:lang w:val="uk-UA"/>
              </w:rPr>
            </w:pPr>
            <w:r>
              <w:rPr>
                <w:rFonts w:ascii="Times New Roman" w:hAnsi="Times New Roman"/>
                <w:sz w:val="14"/>
                <w:szCs w:val="14"/>
                <w:lang w:val="uk-UA"/>
              </w:rPr>
              <w:t>Упродовж 4 кварталу 2023 року опрацьовано понад 154  запитів правоохоронних органів (ДВБ, ДБР, ГПУ) щодо надання інформації про дії користувачів в системі «ІПНП» в 117 кримінальних провадженнях.</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Відповідний моніторинг  використання системи ІПНП працівниками поліції працівниками ДІАП проведений у грудні 2023 року (доповідна записка на ім’я заступника Голови НПУ №2227-2024 від 08.01.2024). За результатами звірки проведено актуалізацію користувачів системи ІПНП та заблоковано 1217 користувачів.</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Упродовж 1 кварталу 2024 року опрацьовано понад 46  запитів правоохоронних органів (ДВБ, ДБР, ГПУ) щодо надання інформації про дії користувачів в системі «ІПНП».</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Працівниками ДІАП, з метою виявлення можливих фактів витоку інформації з системи ІПНП, здійснено реєстрацію користувача під легендованим нікнеймом на платформі: «PROBIV.cc». Аналізуючи публікації виявлено, що на даній платформі активно реєструються оголошення щодо «пробивки» різного роду інформації всистемі під умовною назвою «ARMOR». З даного факту проводиться перевірка (доповідна записка начальника ДІАП від 06.03.2024 №20868-2024.</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Також  додатково, з метою недопущення  користувачами витоку інформації з системи ІПНП, працівниками ДІАП підготовлено 3 доповідні записки від 05.01.2024 №1890-2024, від 08.02.2024 № 12444-2024, від 15.03.2024 №23288-2024 від 17.06.2024 №51221-2024.</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Упродовж ІІ кварталу 2024 року опрацьовано понад 63 запити правоохоронних органів (ДВБ, ДБР, Прокуратура та інші) щодо надання інформації про дії користувачів в системі ІПНП в 42 кримінальних провадженнях.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eastAsia="ru-RU"/>
              </w:rPr>
              <w:t xml:space="preserve">З метою протидії витоку службової інформації та додаткового контролю за цим, наказом НПУ від 27.05.2024 № 568 «Про деякі питання посилення інформаційної безпеки інформаційно-комунікаційної системи </w:t>
            </w:r>
            <w:r>
              <w:rPr>
                <w:rFonts w:ascii="Times New Roman" w:hAnsi="Times New Roman"/>
                <w:sz w:val="14"/>
                <w:szCs w:val="14"/>
                <w:lang w:val="uk-UA"/>
              </w:rPr>
              <w:t xml:space="preserve">«Інформаційний портал Національної поліції України», забезпечено створення електронного архива системи ІПНП. </w:t>
            </w:r>
          </w:p>
          <w:p>
            <w:pPr>
              <w:pStyle w:val="Normal"/>
              <w:widowControl w:val="false"/>
              <w:spacing w:lineRule="auto" w:line="228"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Методичні рекомендації роботи із ІП «Облік тимчасово відсутніх» системи ІПНП розроблено. З метою запровадження додаткового  контролю за недопущенням неправомірних дій працівників поліції з інформацією інтегрованих баз даних НПУ та ГУНП в системі ІПНП, Головою НПУ дано доручення про необхідність погодження із ДВБ НПУ порядку надання відповідних запитів та використання працівниками поліції отриманої в системі ІПНП інформації. (лист НПУ  від 12.12.2022 № 8890/01/27-2022).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Додатково на структурні підрозділи направлені оновлені методичні рекомендації щодо дотримання вимог кібергігієни та інформаційної безпеки при роботі з сервісами (вих. ДДЗ від 25.09.2023)</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lang w:val="uk-UA" w:eastAsia="ru-RU"/>
              </w:rPr>
            </w:pPr>
            <w:r>
              <w:rPr>
                <w:rFonts w:ascii="Times New Roman" w:hAnsi="Times New Roman"/>
                <w:sz w:val="14"/>
                <w:szCs w:val="14"/>
                <w:lang w:val="uk-UA"/>
              </w:rPr>
              <w:t>Відповідні звірки протягом 2022 року проводяться регулярно згідно доручення Голови НПУ (доповідна записка ДІАП НПУ від 24.01.2022 №2395 та листів ДІАП НПУ від 15.11.2022 №8100/09/27-2022, від 15.11.2022 №8109/09/27-2022, від 15.11.2022 №8083/09/27-2022. Звірено 1258 користувачів структурних підрозділів центрального органу управління поліції та міжрегіональних тер.органів. Звірено 68302 користувача ГУНП НПУ та ДПП НПУ. Заблоковано 10630 користувачів.</w:t>
            </w:r>
            <w:r>
              <w:rPr>
                <w:lang w:val="uk-UA" w:eastAsia="ru-RU"/>
              </w:rPr>
              <w:t xml:space="preserve"> </w:t>
            </w:r>
          </w:p>
          <w:p>
            <w:pPr>
              <w:pStyle w:val="Normal"/>
              <w:widowControl w:val="false"/>
              <w:spacing w:lineRule="auto" w:line="240" w:before="0" w:after="0"/>
              <w:jc w:val="both"/>
              <w:rPr>
                <w:rFonts w:ascii="Times New Roman" w:hAnsi="Times New Roman" w:eastAsia="Calibri"/>
                <w:sz w:val="28"/>
                <w:szCs w:val="28"/>
                <w:lang w:val="uk-UA"/>
              </w:rPr>
            </w:pPr>
            <w:r>
              <w:rPr>
                <w:rFonts w:ascii="Times New Roman" w:hAnsi="Times New Roman"/>
                <w:sz w:val="14"/>
                <w:szCs w:val="14"/>
                <w:lang w:val="uk-UA" w:eastAsia="ru-RU"/>
              </w:rPr>
              <w:t xml:space="preserve">Відповідні </w:t>
            </w:r>
            <w:r>
              <w:rPr>
                <w:rFonts w:ascii="Times New Roman" w:hAnsi="Times New Roman"/>
                <w:spacing w:val="-8"/>
                <w:sz w:val="14"/>
                <w:szCs w:val="14"/>
                <w:shd w:fill="FFFFFF" w:val="clear"/>
                <w:lang w:val="uk-UA" w:eastAsia="ru-RU"/>
              </w:rPr>
              <w:t xml:space="preserve">звірки протягом 2023 року проводяться регулярно. Відповідальні особи  на постійній основі забезпечують внесення відомостей до інформаційної підсистеми «Облік відсутніх працівників» системи ІПНП. </w:t>
            </w:r>
            <w:r>
              <w:rPr>
                <w:spacing w:val="-8"/>
                <w:shd w:fill="FFFFFF" w:val="clear"/>
                <w:lang w:val="uk-UA" w:eastAsia="ru-RU"/>
              </w:rPr>
              <w:t xml:space="preserve"> </w:t>
            </w:r>
            <w:r>
              <w:rPr>
                <w:rFonts w:ascii="Times New Roman" w:hAnsi="Times New Roman"/>
                <w:spacing w:val="-8"/>
                <w:sz w:val="14"/>
                <w:szCs w:val="14"/>
                <w:shd w:fill="FFFFFF" w:val="clear"/>
                <w:lang w:val="uk-UA" w:eastAsia="ru-RU"/>
              </w:rPr>
              <w:t>Впродовж  2023 року внесено 125802 інформаційних карток до інформаційної підсистеми «Облік відсутніх працівників» системи ІПНП.</w:t>
            </w:r>
            <w:r>
              <w:rPr>
                <w:rFonts w:eastAsia="Calibri" w:ascii="Times New Roman" w:hAnsi="Times New Roman"/>
                <w:sz w:val="28"/>
                <w:szCs w:val="28"/>
                <w:lang w:val="uk-UA"/>
              </w:rPr>
              <w:t xml:space="preserve">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 результатами звірки проведено актуалізацію користувачів системи ІПНП та заблоковано 1217 користувачів.</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eastAsia="ru-RU"/>
              </w:rPr>
              <w:t xml:space="preserve">Відповідні </w:t>
            </w:r>
            <w:r>
              <w:rPr>
                <w:rFonts w:ascii="Times New Roman" w:hAnsi="Times New Roman"/>
                <w:spacing w:val="-8"/>
                <w:sz w:val="14"/>
                <w:szCs w:val="14"/>
                <w:shd w:fill="FFFFFF" w:val="clear"/>
                <w:lang w:val="uk-UA" w:eastAsia="ru-RU"/>
              </w:rPr>
              <w:t>звірки протягом 1 кварталу 2024 року проводились регулярно. Відповідальні особи  на постійній основі забезпечують внесення відомостей до інформаційної підсистеми «Облік відсутніх працівників» системи ІПНП. Впродовж  1 кварталу 2024 року внесено 30872 інформаційних карток до інформаційної підсистеми «Облік відсутніх працівників» системи ІПНП.</w:t>
            </w:r>
            <w:r>
              <w:rPr>
                <w:rFonts w:ascii="Times New Roman" w:hAnsi="Times New Roman"/>
                <w:sz w:val="14"/>
                <w:szCs w:val="14"/>
                <w:lang w:val="uk-UA"/>
              </w:rPr>
              <w:t xml:space="preserve">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Упродовж 2 кварталу 2024 року внесено 64830 інформаційних карток до інформаційної підсистеми «Облік відсутніх працівників» системи ІПНП. </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16</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  Система внутрішнього контролю Національної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Ймовірність задоволення працівником поліції приватного інтересу свого або третіх осіб під час формування баз (банків) даних, що входять до єдиної інформаційної системи МВС</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Працівник поліції використовуючи службові повноваження та недосконалість механізму контролю може  вимагати, прийняти пропозицію, обіцянку або одержати неправомірну вигоду від зацікавлених осіб,  за внесення недостовірних даних до баз (банків) даних, що входять до єдиної інформаційної системи МВС,  з метою  подальшого можливого уникнення відповідальності осіб які підозрюються у вчиненні злочинів</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урегульованість  внутрішніх організаційно-нормативних актів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2.Недосконала система відомчого контролю  за процесом наповнення баз (банків) даних, що входять до єдиної інформаційної системи МВС</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працівників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 щодо наповнення баз (банків) даних</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2.Регламентований алгоритм наповнення баз (банків) даних)</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3</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1.Розробка та запровадження методичних рекомендацій (інструкції) порядку наповнення баз (банків) даних інформаційної системи МВС</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2.Запровадити додаткові багаторівневі  форми контролю за наповненням та використанням інформаційної системи МВС працівниками поліції</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 Додатково попереджати працівників поліції про  відповідальність, яка настає за порушення антикорупційного законодавства</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4.Проводити додаткові  навчання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30.11.22</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Місяць</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ДСР</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ДІАП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ДСР</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ДІАП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ДСР</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ДІАП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ДСР</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ДІАП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t>Розроблено та запроваджено методичні  рекомендації</w:t>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1" w:hanging="0"/>
              <w:jc w:val="center"/>
              <w:rPr>
                <w:rFonts w:ascii="Times New Roman" w:hAnsi="Times New Roman"/>
                <w:sz w:val="14"/>
                <w:szCs w:val="14"/>
                <w:lang w:val="uk-UA"/>
              </w:rPr>
            </w:pPr>
            <w:r>
              <w:rPr>
                <w:rFonts w:ascii="Times New Roman" w:hAnsi="Times New Roman"/>
                <w:sz w:val="14"/>
                <w:szCs w:val="14"/>
                <w:lang w:val="uk-UA"/>
              </w:rPr>
              <w:t>Запроваджено додаткові багаторівневі  форми контролю за наповненням та використанням інформаційної системи МВС працівниками поліції</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Додаткові попередження працівників поліції здійснено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1" w:right="-122" w:hanging="0"/>
              <w:rPr>
                <w:rFonts w:ascii="Times New Roman" w:hAnsi="Times New Roman"/>
                <w:sz w:val="14"/>
                <w:szCs w:val="14"/>
                <w:lang w:val="uk-UA"/>
              </w:rPr>
            </w:pPr>
            <w:r>
              <w:rPr>
                <w:rFonts w:ascii="Times New Roman" w:hAnsi="Times New Roman"/>
                <w:sz w:val="14"/>
                <w:szCs w:val="14"/>
                <w:lang w:val="uk-UA"/>
              </w:rPr>
              <w:t>31.12.22</w:t>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5" w:right="-9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виконано</w:t>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 2022 році підготовлено та направлено до структурних підрозділів центрального органу управління поліції та територіальних підрозділів поліції:</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методичні рекомендації щодо порядку формування та використання інформаційної підсистеми «ВПО» інформаційно-комунікаційної системи «Інформаційний портал НПУ»;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наказ МВС від 14.02.2022 № 122 «Про внесення змін до наказу Міністерства внутрішніх справ України від 03.08.2017  № 676»;</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наказ МВС від 07.03.2022 № 175 «Про затвердження Порядку отримання вогнепальної зброї і боєприпасів цивільними особами, які беруть участь у відсічі та стримуванні збройної агресії РФ та/або інших держав».</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методичні рекомендації щодо порядку формування та використання інформаційної підсистеми ІП «Воєнний злочинець» інформаційно-комунікаційної системи «Інформаційний портал Національної поліції України» (вих. ДІАП від 16.08.2022 № 45705/09/27-2022);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наказ НПУ від 02.09.2022 № 628 «Про впровадження інформаційно-комунікаційній системі «Інформаційний портал НПУ» спеціалізованого програмного забезпечення – інформаційної підсистеми «Кодифікатор».</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Запроваджено додаткові багаторівневі  форми контролю за наповненням                    та використанням інформаційної системи МВС працівниками поліції, створено Інструкцію щодо організації доступу до інформаційних ресурсів ІПНП.</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Для контролю за наповненням та використанням інформаційних підсистем, розроблені наступні статистичні звіти: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«Відомості щодо постановки на облік ІП «Зареєстрована зброя» зброї, що видано цивільним особам - членам добровольчих формувань»;</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«Відомості щодо постановки на облік ІП Зареєстрована зброя-Арсенал зброї, що видано поліцейським»;</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«Відомості щодо кількості запитів              до ІП «Блокпост»».</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«Відомості щодо постановки на облік інформації до ІП «ТЗ-військовий стан»;</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«Відомості щодо постановки на облік інформації до ІП «Внутрішньо-переміщених осіб»;</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«Відомості щодо постановки на облік інформації до ІП «Воєнний злочинець».</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Також  метою додаткового контролю ДВБ НПУ формує (наповнює) та використовує інформаційно-пошукову систему «Філін» (виключно для ДВБ НПУ). щодо запобігання ризикам зловживань у частині наповнення та використання інформаційних масивів зазначеної ІПС. На 30.12.2022 розроблено попередній проект Методичних рекомендації (алгоритм) роботи із інтегрованими оперативно-розшуковими обліками інформаційно-пошукової системи «Філін».</w:t>
            </w:r>
          </w:p>
          <w:p>
            <w:pPr>
              <w:pStyle w:val="Normal"/>
              <w:widowControl w:val="false"/>
              <w:spacing w:lineRule="auto" w:line="240" w:before="0" w:after="0"/>
              <w:ind w:right="37" w:hanging="0"/>
              <w:jc w:val="both"/>
              <w:rPr>
                <w:rFonts w:ascii="Times New Roman" w:hAnsi="Times New Roman"/>
                <w:sz w:val="14"/>
                <w:szCs w:val="14"/>
                <w:lang w:val="uk-UA"/>
              </w:rPr>
            </w:pPr>
            <w:r>
              <w:rPr>
                <w:rFonts w:ascii="Times New Roman" w:hAnsi="Times New Roman"/>
                <w:sz w:val="14"/>
                <w:szCs w:val="14"/>
                <w:lang w:val="uk-UA"/>
              </w:rPr>
              <w:t>З метою додаткового контролю та щомісячного відповідного додаткового контролю, наказом НПУ від 18.05.2022 № 414 внесені зміни до Інструкції про порядок ведення обліку, зберігання, використання і знищення документів та інших матеріальних носіїв інформації, що містять службову інформацію у Національній поліції</w:t>
            </w:r>
          </w:p>
          <w:p>
            <w:pPr>
              <w:pStyle w:val="Normal"/>
              <w:widowControl w:val="false"/>
              <w:spacing w:lineRule="auto" w:line="240" w:before="0" w:after="0"/>
              <w:ind w:right="37" w:hanging="0"/>
              <w:jc w:val="both"/>
              <w:rPr>
                <w:rFonts w:ascii="Times New Roman" w:hAnsi="Times New Roman"/>
                <w:sz w:val="14"/>
                <w:szCs w:val="14"/>
                <w:lang w:val="uk-UA"/>
              </w:rPr>
            </w:pPr>
            <w:r>
              <w:rPr>
                <w:rFonts w:ascii="Times New Roman" w:hAnsi="Times New Roman"/>
                <w:sz w:val="14"/>
                <w:szCs w:val="14"/>
                <w:lang w:val="uk-UA" w:eastAsia="ru-RU"/>
              </w:rPr>
              <w:t xml:space="preserve">Відповідні </w:t>
            </w:r>
            <w:r>
              <w:rPr>
                <w:rFonts w:ascii="Times New Roman" w:hAnsi="Times New Roman"/>
                <w:spacing w:val="-8"/>
                <w:sz w:val="14"/>
                <w:szCs w:val="14"/>
                <w:shd w:fill="FFFFFF" w:val="clear"/>
                <w:lang w:val="uk-UA" w:eastAsia="ru-RU"/>
              </w:rPr>
              <w:t>звірки протягом 1 кварталу 2024 року проводились регулярно. Відповідальні особи  на постійній основі забезпечують внесення відомостей до інформаційної підсистеми «Облік відсутніх працівників» системи ІПНП. Впродовж  1 кварталу 2024 року внесено 30872 інформаційних карток до інформаційної підсистеми «Облік відсутніх працівників» системи ІПНП.</w:t>
            </w:r>
            <w:r>
              <w:rPr>
                <w:rFonts w:ascii="Times New Roman" w:hAnsi="Times New Roman"/>
                <w:sz w:val="14"/>
                <w:szCs w:val="14"/>
                <w:lang w:val="uk-UA"/>
              </w:rPr>
              <w:t xml:space="preserve">  </w:t>
            </w:r>
          </w:p>
          <w:p>
            <w:pPr>
              <w:pStyle w:val="Normal"/>
              <w:widowControl w:val="false"/>
              <w:spacing w:lineRule="auto" w:line="240" w:before="0" w:after="0"/>
              <w:ind w:left="-15" w:hanging="0"/>
              <w:jc w:val="both"/>
              <w:rPr>
                <w:rFonts w:ascii="Times New Roman" w:hAnsi="Times New Roman"/>
                <w:sz w:val="14"/>
                <w:szCs w:val="14"/>
                <w:lang w:val="uk-UA"/>
              </w:rPr>
            </w:pPr>
            <w:r>
              <w:rPr>
                <w:rFonts w:ascii="Times New Roman" w:hAnsi="Times New Roman"/>
                <w:sz w:val="14"/>
                <w:szCs w:val="14"/>
                <w:lang w:val="uk-UA"/>
              </w:rPr>
              <w:t xml:space="preserve">Упродовж 5 місяців 2024 року підрозділами ДВБ опрацьовано 191 звернення громадян щодо неправомірних дій працівників поліції, пов’язаних з корупційними правопорушеннями. </w:t>
            </w:r>
          </w:p>
          <w:p>
            <w:pPr>
              <w:pStyle w:val="Normal"/>
              <w:widowControl w:val="false"/>
              <w:spacing w:lineRule="auto" w:line="240" w:before="0" w:after="0"/>
              <w:ind w:left="-15" w:hanging="0"/>
              <w:jc w:val="both"/>
              <w:rPr>
                <w:rFonts w:ascii="Times New Roman" w:hAnsi="Times New Roman"/>
                <w:sz w:val="14"/>
                <w:szCs w:val="14"/>
                <w:lang w:val="uk-UA"/>
              </w:rPr>
            </w:pPr>
            <w:r>
              <w:rPr>
                <w:rFonts w:ascii="Times New Roman" w:hAnsi="Times New Roman"/>
                <w:sz w:val="14"/>
                <w:szCs w:val="14"/>
                <w:lang w:val="uk-UA"/>
              </w:rPr>
              <w:t xml:space="preserve">У звітному періоді за матеріалами підрозділів ДВБ уповноваженими органами розпочато 233 кримінальні провадження за  фактами протиправних дій працівників поліції, у тому числі за ст. 364 КК України – 3 провадження, за ст. 368 КК України – 61 та за ст. 369-2 КК України – 6. </w:t>
            </w:r>
          </w:p>
          <w:p>
            <w:pPr>
              <w:pStyle w:val="Normal"/>
              <w:widowControl w:val="false"/>
              <w:spacing w:lineRule="auto" w:line="240" w:before="0" w:after="0"/>
              <w:ind w:left="-15" w:hanging="0"/>
              <w:jc w:val="both"/>
              <w:rPr>
                <w:lang w:val="ru-RU"/>
              </w:rPr>
            </w:pPr>
            <w:r>
              <w:rPr>
                <w:rFonts w:ascii="Times New Roman" w:hAnsi="Times New Roman"/>
                <w:sz w:val="14"/>
                <w:szCs w:val="14"/>
                <w:lang w:val="uk-UA"/>
              </w:rPr>
              <w:t>За результатами досудового розслідування 139 правоохоронцям повідомлено про підозру, з яких за ст. 364 КК України – 2, ст. 368 КК України – 20 та за ст. 3697 КК України – 7.</w:t>
            </w:r>
            <w:r>
              <w:rPr>
                <w:lang w:val="ru-RU"/>
              </w:rPr>
              <w:t xml:space="preserve">  </w:t>
            </w:r>
          </w:p>
          <w:p>
            <w:pPr>
              <w:pStyle w:val="Normal"/>
              <w:widowControl w:val="false"/>
              <w:spacing w:lineRule="auto" w:line="240" w:before="0" w:after="0"/>
              <w:jc w:val="both"/>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spacing w:val="-8"/>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у т.ч., враховуючи наявні рішення Європейського суду з прав людини.</w:t>
            </w:r>
          </w:p>
          <w:p>
            <w:pPr>
              <w:pStyle w:val="Normal"/>
              <w:widowControl w:val="false"/>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17</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VI. Сфера публічних закупівель Національної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Можливе надання необґрунтованих переваг заздалегідь визначеним постачальникам продукції до підрозділів НПУ  (автотранспорту, ПММ, технічного устаткування, форменого одягу, продуктів харчування, оргтехніки тощо),  з метою отримання незаконної винагороди («відката»)</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З метою можливого отримання посадовими особами поліції                         (членами тендерного комітету) незаконної винагороди («отката») від  заздалегідь визначеного постачальника продукції (автотранспорту, ПММ, технічного устаткування, форменого одягу, продуктів харчування, оргтехніки тощо), здійснюється   надання необґрунтованих переваг для визначення  переможцем у тендері</w:t>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1.Дискреційні повноваження посадових осіб поліції при визначенні переможця процедур закупівель</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посадових осіб поліції</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 Моніторинг цін при визначенні постачальників товарів, робіт чи послуг при здійсненні закупівель</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 Проведення процедур закупівель виключно в електронній системі ProZorro із залученням фахівців внутрішньої безпеки та внутрішнього аудиту. При цьому забезпечується належне документування всіх прийнятих рішень в рамках процедур закупівель</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3.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антикорупційного законодавства</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3</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1.Розробити внутрішній порядок закупівель, з визначенням детального розподілу прав і обов’язків відповідальних осіб замовника, визначення системи контролю за прийняттям рішень, із обов’язковим залученням працівника уповноваженого підрозділу (уповноважену особу) з питань запобігання та виявлення корупції підрозділу</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2.Провести вибірковий моніторинг та аналіз закупівель, здійснених підрозділами поліції, які оприлюднені в електронній системі  ProZorro, відповідно до Закону України     «Про публічні закупівлі»</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3.Запровадити процедуру подвійного контролю за діями замовника, яка виключатиме умисне відхилення тендерних пропозицій з мотивів наявності приватного інтересу, а також передбачатиме механізм повідомлення учасником про порушення й</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4.Додатково попереджати посадових осіб поліції                         (членів тендерного комітету) про відповідальність, яка настає за порушення законодавства щодо здійснення закупівель та антикорупційного законодавства</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30.05.22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 згідно з графіком</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 згідно з графіком</w:t>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 перед проведенням закупівлі</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Розроблений порядок закупівель</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Вибірковий аналіз та моніторинг закупівель проведено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Процедура подвійного контролю запроваджена</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Здійснено додаткові попередження працівників поліції</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6" w:right="-108" w:hanging="0"/>
              <w:jc w:val="center"/>
              <w:rPr>
                <w:rFonts w:ascii="Times New Roman" w:hAnsi="Times New Roman"/>
                <w:sz w:val="14"/>
                <w:szCs w:val="14"/>
                <w:lang w:val="uk-UA"/>
              </w:rPr>
            </w:pPr>
            <w:r>
              <w:rPr>
                <w:rFonts w:ascii="Times New Roman" w:hAnsi="Times New Roman"/>
                <w:sz w:val="14"/>
                <w:szCs w:val="14"/>
                <w:lang w:val="uk-UA"/>
              </w:rPr>
              <w:t>30.06.22</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метою ефективного, економного використання коштів, забезпечення потреб безпеки і оборони, при здійснені закупівель в умовах воєнного стану в центральному органі управління поліції утворено  колегіальну робочу групу з питань супроводу закупівель товарів, робіт чи послуг (далі – робоча група), що затверджена Наказом НПУ від 10.05.2022 № 311 «Про організацію закупівель товарів (робіт чи послуг) у центральному органі управління поліції в період дії воєнного стану» (далі – Наказ).</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До складу робочої групи входять  компетентні, досвідчені працівники підрозділів матеріально-технічного, фінансового, правового забезпечення, внутрішнього аудиту, а також  внутрішньої безпеки, де основними завданнями, зазначеного підрозділу є запобігання, виявлення, попередження і припинення корупційних та пов’язаних з корупційними правопорушеннями. Також за необхідності залучаються інші фахівці зацікавлених підрозділів.</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Розроблено положення про організацію закупівель товарів, робіт чи послуг в період дії воєнного стану затверджене наказом ДУ «ЦОП Національної поліції України» від 10.06.2022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68. Наказом ДУ «ЦОП НПУ» від 26.10.2022 № 150 визначено уповноважених осіб відповідальних за проведення публічних закупівель товарів, робіт та послуг на період дії правового режиму воєнного стану в Україні та протягом 90 днів з дня його припинення або скасування.</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Наказом НПУ від 27.03.2023 №226 на період дії правового режиму воєнного стану призначено відповідальну особу за організацію та проведення оборонних закупівель.</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Наказом НПУ від 04.08.2023 №717 створено робочу групу з надання фахових консультацій з питань публічних закупівель та оборонних закупевель товарів, робіт і послуг оборонного призначення. Затверджено положення про робочу групу, до складу якої включений представник ДВБ.</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Наказом НПУ від 08.08.2023 №727 створено робочу групу з питань організації та проведення  закупевель товарів, робіт і послуг оборонного призначення, що становить державну таємницю.</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Центральним органом управління при ініціюванні придбання товарів (робіт чи послуг) на постійній основі з метою визначення найбільш оптимальної закупівлі оціночної вартості, здійснюється аналіз закупівель, які оприлюднюються в системі ProZorro. Вибірковий аналіз та моніторинг закупівель проводиться на постійній основі. Працівники ДВБ у 2022 році взяли участь у 94 засіданнях Робочих груп з питань публічних закупівель ДУ ЦОП НПУ. За результатами аналізу закупівель попереджено проведення 2-х ризикових процедур. За наслідками участі у закупівлях досягнуто економію коштів на суму 4,1млн.грн.</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 результатом  аналізу та супроводження 82-х договорів, запланованих до укладання ДУ ЦОП НПУ, ДВБ заблоковано укладання 2-х ризикових договорів, а також досягнуто економію бюджетних коштів в сумі 305 тис. грн, шляхом надання рекомендацій ДУ ЦОП щодо проведення додаткового моніторингу цін та зменшення вартості товару</w:t>
            </w:r>
            <w:r>
              <w:rPr>
                <w:lang w:val="uk-UA"/>
              </w:rPr>
              <w:t xml:space="preserve"> </w:t>
            </w:r>
            <w:r>
              <w:rPr>
                <w:rFonts w:ascii="Times New Roman" w:hAnsi="Times New Roman"/>
                <w:sz w:val="14"/>
                <w:szCs w:val="14"/>
                <w:lang w:val="uk-UA"/>
              </w:rPr>
              <w:t>В умовах воєнного стану територіальні органи поліції здійснюють закупівлі відповідно до постанови КМУ від 11 жовтня 2022 р. № 1178 «Про затвердження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w:t>
            </w:r>
          </w:p>
          <w:p>
            <w:pPr>
              <w:pStyle w:val="Normal"/>
              <w:widowControl w:val="false"/>
              <w:spacing w:lineRule="auto" w:line="240" w:before="0" w:after="0"/>
              <w:jc w:val="both"/>
              <w:rPr>
                <w:rFonts w:ascii="Times New Roman" w:hAnsi="Times New Roman"/>
                <w:sz w:val="14"/>
                <w:szCs w:val="14"/>
                <w:lang w:val="ru-RU"/>
              </w:rPr>
            </w:pPr>
            <w:r>
              <w:rPr>
                <w:rFonts w:ascii="Times New Roman" w:hAnsi="Times New Roman"/>
                <w:sz w:val="14"/>
                <w:szCs w:val="14"/>
                <w:lang w:val="ru-RU"/>
              </w:rPr>
              <w:t xml:space="preserve">Проводиться вибірковий моніторинг та аналіз закупівель в електронній системі </w:t>
            </w:r>
            <w:r>
              <w:rPr>
                <w:rFonts w:ascii="Times New Roman" w:hAnsi="Times New Roman"/>
                <w:sz w:val="14"/>
                <w:szCs w:val="14"/>
              </w:rPr>
              <w:t>ProZorro</w:t>
            </w:r>
            <w:r>
              <w:rPr>
                <w:rFonts w:ascii="Times New Roman" w:hAnsi="Times New Roman"/>
                <w:sz w:val="14"/>
                <w:szCs w:val="14"/>
                <w:lang w:val="ru-RU"/>
              </w:rPr>
              <w:t>.</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 результатами аналізу та супроводження закупівель та договорів. Запланованих до укладання НПУ. ДВБ заблоковано 13 ризикованих договорів та досягнуто економію бюджетних коштів в сумі 14,3 млн. грн., шляхом надання рекомендацій щодо проведення додатковго моніторінгу цін. Внаслідок чого замовником зменшено вартість товару на вказану суму.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Процедуру подвійного контролю запроваджено. За ініціативою ДВБ підготовлено доручення Голови НПУ від 29.04.2022 №2840/01/42-2022 , яке передбачає попереднє інформування ДВБ про заплановані закупівлі замовників системи НПУ. Відповідно до ч 7-9 розділу IІІ Положення про робочу групу Національної поліції України з питань супроводу публічних (оборонних) закупівель затвердженого наказом НПУ № 717 від 04.08.2023,</w:t>
            </w:r>
            <w:r>
              <w:rPr>
                <w:lang w:val="uk-UA"/>
              </w:rPr>
              <w:t xml:space="preserve"> </w:t>
            </w:r>
            <w:r>
              <w:rPr>
                <w:rFonts w:ascii="Times New Roman" w:hAnsi="Times New Roman"/>
                <w:sz w:val="14"/>
                <w:szCs w:val="14"/>
                <w:lang w:val="uk-UA"/>
              </w:rPr>
              <w:t>у період воєнного стану затвердженого Наказом, у разі виникнення реального чи потенційного конфлікту інтересів у членів робочої групи або інших учасників засідання та неможливості через це брати участь у роботі робочої групи, вони зобов’язані письмово повідомити про це її Голову. У разі ненадання зазначеної інформації відповідні особи несуть відповідальність згідно із законодавством України.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Працівниками ДВБ з початку 2023 року взято участь у 50 засіданнях робочої групи з питань оборонних закупівель НПУ.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Задокументовані факти шахрайського заволодіння бюджетними коштами Національної поліції, виділеними на закупівлі товарно-матеріальних цінностей, службовими особами ряду суб’єктів господарювання, які не мали наміру виконувати укладені договори.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З метою проведення закупівель товарів за рамковими угодами на засадах відкритості, об’єктивності та конкуренції, наказом НПУ від 27.03.2023 № 226 визначено відповідальну особу за організацію та проведення оборонних закупівель за рамковими угодами, які підлягають забезпеченню центральним органом управління поліції.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 наслідками додакового контролю, ДВБ зібрани матеріали, на підставі яких ГСУ внесене кримінальне провадження за ознаками ч.4 ст.190 КК Ураїни.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уповноважених осіб  для здійснення процедур закупівель у НПУ про відповідальність, яка настає за порушення законодавства щодо здійснення закупівель та антикорупційного законодавства проведені перед проведенням процедур закупівель.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законодавства, у т.ч. антикорупційного. Додатковий  контроль рівня знань антикорупційного законодавства здійснюється при проведенні перевірки з визначення рівня службової підготовленості поліцейських (наказ НПУ від 25.08.2022),  а також під час організації службової підготовки поліцейських (наказ НПУ від 15.12.2021 № 1049).</w:t>
            </w:r>
          </w:p>
          <w:p>
            <w:pPr>
              <w:pStyle w:val="Normal"/>
              <w:widowControl w:val="false"/>
              <w:spacing w:lineRule="auto" w:line="240" w:before="0" w:after="0"/>
              <w:jc w:val="both"/>
              <w:rPr>
                <w:rFonts w:ascii="Times New Roman" w:hAnsi="Times New Roman"/>
                <w:sz w:val="14"/>
                <w:szCs w:val="14"/>
                <w:lang w:val="uk-UA"/>
              </w:rPr>
            </w:pPr>
            <w:hyperlink r:id="rId5">
              <w:r>
                <w:rPr>
                  <w:rStyle w:val="Hyperlink"/>
                  <w:rFonts w:ascii="Times New Roman" w:hAnsi="Times New Roman"/>
                  <w:color w:val="auto"/>
                  <w:sz w:val="14"/>
                  <w:szCs w:val="14"/>
                  <w:lang w:val="uk-UA"/>
                </w:rPr>
                <w:t>https://www.npu.gov.ua/pro-policiyu/zapobigannya-i-protidiya-korupciyi/vidpovidalnist-za-korupcijni-abo-povyazani-z-korupciyeyu-pravoporushennya</w:t>
              </w:r>
            </w:hyperlink>
            <w:r>
              <w:rPr>
                <w:rFonts w:ascii="Times New Roman" w:hAnsi="Times New Roman"/>
                <w:sz w:val="14"/>
                <w:szCs w:val="14"/>
                <w:lang w:val="uk-UA"/>
              </w:rPr>
              <w:t>.</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bookmarkStart w:id="41" w:name="1172"/>
            <w:bookmarkEnd w:id="41"/>
            <w:r>
              <w:rPr>
                <w:rFonts w:ascii="Times New Roman" w:hAnsi="Times New Roman"/>
                <w:sz w:val="14"/>
                <w:szCs w:val="14"/>
                <w:lang w:val="uk-UA"/>
              </w:rPr>
              <w:t>18</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bookmarkStart w:id="42" w:name="1173"/>
            <w:bookmarkEnd w:id="42"/>
            <w:r>
              <w:rPr>
                <w:rFonts w:ascii="Times New Roman" w:hAnsi="Times New Roman"/>
                <w:sz w:val="14"/>
                <w:szCs w:val="14"/>
                <w:lang w:val="uk-UA"/>
              </w:rPr>
              <w:t>VI. Сфера публічних закупівель Національної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bookmarkStart w:id="43" w:name="1174"/>
            <w:bookmarkEnd w:id="43"/>
            <w:r>
              <w:rPr>
                <w:rFonts w:ascii="Times New Roman" w:hAnsi="Times New Roman"/>
                <w:sz w:val="14"/>
                <w:szCs w:val="14"/>
                <w:lang w:val="uk-UA"/>
              </w:rPr>
              <w:t>Можливе завищення очікуваної вартості закупівлі</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bookmarkStart w:id="44" w:name="1175"/>
            <w:bookmarkEnd w:id="44"/>
            <w:r>
              <w:rPr>
                <w:rFonts w:ascii="Times New Roman" w:hAnsi="Times New Roman"/>
                <w:sz w:val="14"/>
                <w:szCs w:val="14"/>
                <w:lang w:val="uk-UA"/>
              </w:rPr>
              <w:t>За попередньої змови між посадовими особами поліції (членами тендерного комітету) та  заздалегідь визначеним постачальником продукції узгоджується необґрунтоване завищення вартості продукції, з метою можливого отримання посадовими особами поліції незаконої винагороди («отката»)</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bookmarkStart w:id="45" w:name="1176"/>
            <w:bookmarkEnd w:id="45"/>
            <w:r>
              <w:rPr>
                <w:rFonts w:ascii="Times New Roman" w:hAnsi="Times New Roman"/>
                <w:sz w:val="14"/>
                <w:szCs w:val="14"/>
                <w:lang w:val="uk-UA"/>
              </w:rPr>
              <w:t>1.Дискреційні повноваження посадових осіб поліції при визначенні цін продукції при закупівлі</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посадових осіб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bookmarkStart w:id="46" w:name="1177"/>
            <w:bookmarkEnd w:id="46"/>
            <w:r>
              <w:rPr>
                <w:rFonts w:ascii="Times New Roman" w:hAnsi="Times New Roman"/>
                <w:sz w:val="14"/>
                <w:szCs w:val="14"/>
                <w:lang w:val="uk-UA"/>
              </w:rPr>
              <w:t xml:space="preserve">1.Проведення процедур закупівель виключно в електронній системі ProZorro із залученням фахівців внутрішньої безпеки та внутрішнього аудиту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антикорупційного законодавства</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bookmarkStart w:id="47" w:name="1178"/>
            <w:bookmarkEnd w:id="47"/>
            <w:r>
              <w:rPr>
                <w:rFonts w:ascii="Times New Roman" w:hAnsi="Times New Roman"/>
                <w:sz w:val="14"/>
                <w:szCs w:val="14"/>
                <w:lang w:val="uk-UA"/>
              </w:rPr>
              <w:t>3</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03" w:hanging="0"/>
              <w:jc w:val="center"/>
              <w:rPr>
                <w:rFonts w:ascii="Times New Roman" w:hAnsi="Times New Roman"/>
                <w:sz w:val="14"/>
                <w:szCs w:val="14"/>
                <w:lang w:val="uk-UA"/>
              </w:rPr>
            </w:pPr>
            <w:bookmarkStart w:id="48" w:name="1179"/>
            <w:bookmarkEnd w:id="48"/>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bookmarkStart w:id="49" w:name="1180"/>
            <w:bookmarkEnd w:id="49"/>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right="-157" w:hanging="0"/>
              <w:rPr>
                <w:rFonts w:ascii="Times New Roman" w:hAnsi="Times New Roman"/>
                <w:sz w:val="14"/>
                <w:szCs w:val="14"/>
                <w:lang w:val="uk-UA"/>
              </w:rPr>
            </w:pPr>
            <w:bookmarkStart w:id="50" w:name="1181"/>
            <w:bookmarkEnd w:id="50"/>
            <w:r>
              <w:rPr>
                <w:rFonts w:ascii="Times New Roman" w:hAnsi="Times New Roman"/>
                <w:sz w:val="14"/>
                <w:szCs w:val="14"/>
                <w:lang w:val="uk-UA"/>
              </w:rPr>
              <w:t>1.Моніторинг цін при здійсненні закупівель відповідальними посадовими особами ініціатора закупівлі, з обов’язковим наданням результатів моніторингу до Річного плану закупівель</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2.Під час визначення очікуваної вартості предмета закупівлі здійснювати  використання аналітичних модулів для моніторингу цін (bi.prozorro.org, clarity-project.info, acm-ua.org).</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3.Розробка та запровадження типових внутрішніх інструкцій по регламентації прав і обов’язків відповідальних посадових осіб замовника закупівлі, системи внутрішнього  контролю</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4.Використання примірної методики визначення очікуваної вартості предмета закупівлі (Наказ Міністерства розвитку економіки, торгівлі та с/г України від 18.02.2020 №  275)</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5.Здійснення  аналізу контрагентів за договорами про публічні закупівлі, із обов’язковим залученням працівника уповноваженого підрозділу (уповноважену особу) з питань запобігання та виявлення корупції підрозділу, з метою у т.ч. встановлення серед постачальників, компаній, які фігурували у корупційних справах</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6.Проводити додаткові навчання працівників поліції зі знання антикорупційного законодавства, з врахуванням внесення до нього змін</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bookmarkStart w:id="51" w:name="1182"/>
            <w:bookmarkEnd w:id="51"/>
            <w:r>
              <w:rPr>
                <w:rFonts w:ascii="Times New Roman" w:hAnsi="Times New Roman"/>
                <w:sz w:val="14"/>
                <w:szCs w:val="14"/>
                <w:lang w:val="uk-UA"/>
              </w:rPr>
              <w:t xml:space="preserve">Постійно перед проведенням закупівлі </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 xml:space="preserve">Постійно перед проведенням закупівлі </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 при проведенні закупівлі</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 при проведенні закупівлі</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bookmarkStart w:id="52" w:name="1183"/>
            <w:bookmarkEnd w:id="52"/>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t>ПД  УЗК ТОП</w:t>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uk-UA"/>
              </w:rPr>
              <w:t>ТОП</w:t>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bookmarkStart w:id="53" w:name="1184"/>
            <w:bookmarkEnd w:id="53"/>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8" w:right="-106" w:hanging="0"/>
              <w:jc w:val="center"/>
              <w:rPr>
                <w:rFonts w:ascii="Times New Roman" w:hAnsi="Times New Roman"/>
                <w:sz w:val="14"/>
                <w:szCs w:val="14"/>
                <w:lang w:val="uk-UA"/>
              </w:rPr>
            </w:pPr>
            <w:bookmarkStart w:id="54" w:name="1185"/>
            <w:bookmarkEnd w:id="54"/>
            <w:r>
              <w:rPr>
                <w:rFonts w:ascii="Times New Roman" w:hAnsi="Times New Roman"/>
                <w:sz w:val="14"/>
                <w:szCs w:val="14"/>
                <w:lang w:val="uk-UA"/>
              </w:rPr>
              <w:t>Оприлюднення результатів моніторингу цін та Річного плану закупівель</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Відповідний моніторинг та аналіз цін проведено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Розроблено та запроваджено типові внутрішні інструкції</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Виконується використання відповідних методик</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Здійснено аналіз контрагентів</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jc w:val="center"/>
              <w:rPr>
                <w:rFonts w:ascii="Times New Roman" w:hAnsi="Times New Roman"/>
                <w:sz w:val="14"/>
                <w:szCs w:val="14"/>
                <w:lang w:val="uk-UA"/>
              </w:rPr>
            </w:pPr>
            <w:bookmarkStart w:id="55" w:name="1186"/>
            <w:bookmarkEnd w:id="55"/>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6" w:right="-11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8" w:hanging="0"/>
              <w:jc w:val="center"/>
              <w:rPr>
                <w:rFonts w:ascii="Times New Roman" w:hAnsi="Times New Roman"/>
                <w:sz w:val="14"/>
                <w:szCs w:val="14"/>
                <w:lang w:val="uk-UA"/>
              </w:rPr>
            </w:pPr>
            <w:r>
              <w:rPr>
                <w:rFonts w:ascii="Times New Roman" w:hAnsi="Times New Roman"/>
                <w:sz w:val="14"/>
                <w:szCs w:val="14"/>
                <w:lang w:val="uk-UA"/>
              </w:rPr>
              <w:t>10.05.22</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bookmarkStart w:id="56" w:name="1187"/>
            <w:bookmarkEnd w:id="56"/>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bookmarkStart w:id="57" w:name="1188"/>
            <w:bookmarkEnd w:id="57"/>
            <w:r>
              <w:rPr>
                <w:rFonts w:ascii="Times New Roman" w:hAnsi="Times New Roman"/>
                <w:sz w:val="14"/>
                <w:szCs w:val="14"/>
                <w:lang w:val="uk-UA"/>
              </w:rPr>
              <w:t>Під час визначення вартості предмету закупівлі, відповідальний структурний підрозділ проводить моніторинг орієнтовної вартості закупівлі одним або декілька методами/шляхами: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направлення запитів щодо надання комерційних пропозицій;</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розрахунок орієнтовної вартості на  підставі цін попередніх закупівель.</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аналіз інформації про ціни, що міститься в мережі Інтернет у відкритому доступі.</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 аналіз оцінки </w:t>
            </w:r>
            <w:r>
              <w:rPr>
                <w:rFonts w:ascii="Times New Roman" w:hAnsi="Times New Roman"/>
                <w:sz w:val="14"/>
                <w:szCs w:val="14"/>
              </w:rPr>
              <w:t>ProZorro</w:t>
            </w:r>
            <w:r>
              <w:rPr>
                <w:rFonts w:ascii="Times New Roman" w:hAnsi="Times New Roman"/>
                <w:sz w:val="14"/>
                <w:szCs w:val="14"/>
                <w:lang w:val="uk-UA"/>
              </w:rPr>
              <w:t xml:space="preserve"> </w:t>
            </w:r>
            <w:r>
              <w:rPr>
                <w:rFonts w:ascii="Times New Roman" w:hAnsi="Times New Roman"/>
                <w:sz w:val="14"/>
                <w:szCs w:val="14"/>
              </w:rPr>
              <w:t>Market</w:t>
            </w:r>
            <w:r>
              <w:rPr>
                <w:rFonts w:ascii="Times New Roman" w:hAnsi="Times New Roman"/>
                <w:sz w:val="14"/>
                <w:szCs w:val="14"/>
                <w:lang w:val="uk-UA"/>
              </w:rPr>
              <w:t xml:space="preserve"> – публічний модуль аналітики.</w:t>
            </w:r>
          </w:p>
          <w:p>
            <w:pPr>
              <w:pStyle w:val="Normal"/>
              <w:widowControl w:val="false"/>
              <w:tabs>
                <w:tab w:val="clear" w:pos="708"/>
                <w:tab w:val="left" w:pos="851" w:leader="none"/>
              </w:tabs>
              <w:spacing w:lineRule="auto" w:line="240" w:before="0" w:after="0"/>
              <w:jc w:val="both"/>
              <w:rPr>
                <w:rFonts w:eastAsia="Calibri" w:eastAsiaTheme="minorHAnsi"/>
                <w:sz w:val="14"/>
                <w:szCs w:val="14"/>
                <w:lang w:val="ru-RU"/>
              </w:rPr>
            </w:pPr>
            <w:r>
              <w:rPr>
                <w:rFonts w:ascii="Times New Roman" w:hAnsi="Times New Roman"/>
                <w:sz w:val="14"/>
                <w:szCs w:val="14"/>
                <w:lang w:val="uk-UA"/>
              </w:rPr>
              <w:t>З початку введення режиму воєнного стану працівниками ДВБ розпочато супроводження процесу проведення закупівель товарів шляхом укладання прямих договорів у відповідності до Постанови КМУ від 28 лютого 2022 р.      № 169 «Деякі питання здійснення оборонних та публічних закупівель товарів, робіт і послуг в умовах воєнного стану».</w:t>
            </w:r>
            <w:r>
              <w:rPr>
                <w:rFonts w:eastAsia="Calibri" w:eastAsiaTheme="minorHAnsi"/>
                <w:lang w:val="ru-RU"/>
              </w:rPr>
              <w:t xml:space="preserve"> </w:t>
            </w:r>
            <w:r>
              <w:rPr>
                <w:rFonts w:eastAsia="Calibri" w:ascii="Times New Roman" w:hAnsi="Times New Roman" w:eastAsiaTheme="minorHAnsi"/>
                <w:sz w:val="14"/>
                <w:szCs w:val="14"/>
                <w:lang w:val="uk-UA"/>
              </w:rPr>
              <w:t>Моніторингом закупівель, проведених замовниками у період дії правового режиму воєнного стану, встановлені факти  закупівлі пального, які проведені з порушеннями вимог законодавства в частині включення до вартості товару сум ПДВ. За результатами аналізу, вжито заходів для повернення на рахунки замовників зайво сплачених коштів в сумі понад 740 500 грн</w:t>
            </w:r>
            <w:r>
              <w:rPr>
                <w:rFonts w:eastAsia="Calibri" w:eastAsiaTheme="minorHAnsi"/>
                <w:sz w:val="14"/>
                <w:szCs w:val="14"/>
                <w:lang w:val="ru-RU"/>
              </w:rPr>
              <w:t>.</w:t>
            </w:r>
          </w:p>
          <w:p>
            <w:pPr>
              <w:pStyle w:val="Normal"/>
              <w:widowControl w:val="false"/>
              <w:tabs>
                <w:tab w:val="clear" w:pos="708"/>
                <w:tab w:val="left" w:pos="851" w:leader="none"/>
              </w:tabs>
              <w:spacing w:lineRule="auto" w:line="240" w:before="0" w:after="0"/>
              <w:jc w:val="both"/>
              <w:rPr>
                <w:rFonts w:ascii="Times New Roman" w:hAnsi="Times New Roman" w:eastAsia="Calibri" w:eastAsiaTheme="minorHAnsi"/>
                <w:sz w:val="14"/>
                <w:szCs w:val="14"/>
                <w:lang w:val="uk-UA"/>
              </w:rPr>
            </w:pPr>
            <w:r>
              <w:rPr>
                <w:rFonts w:eastAsia="Calibri" w:eastAsiaTheme="minorHAnsi"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Очікувана вартість розраховується відповідно до конкретних умов поставки, потреби в матеріальних цінностях, виходячи з їх фактичної наявності на складі та на основі проектів зведених кошторисів з урахуванням забезпечення режиму економії коштів і матеріальних цінностей, у т.ч. із використанням  аналітичних модулів для моніторингу цін (bi.prozorro.org, clarity-project.info, acm-ua.org).</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Розроблені та впровадженні відповідні типові внутрішні інструкції (наказ НПУ від 10.05.2022 № 311  «Про організацію закупівель товарів (робіт чи послуг) у центральному органі управління поліції в період дії воєнного стану»). Згідно наказу, робочою групою із супроводу закупівель під час дії воєнного стану віднесено розгляд документів, інформації, що стосуються істотних умов запланованих закупівель та надання, на консультативно-дорадчих засадах, рекомендацій щодо доцільності укладання господарського договору про закупівлю запланованого товару (роботи чи послуги) або ж обґрунтовані застереження стосовно утримання від такої закупівлі на запропонованих умовах. У відповідності до Постанови КМУ від 28 лютого 2022 р. № 169 «Деякі питання здійснення оборонних та публічних закупівель товарів, робіт і послуг в умовах воєнного стану» кожним замовником визначено відповідну уповноважену особу.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Під час визначення очікуваної вартості предмета закупівлі використовують пропозиції потенційних постачальників, виробників та дилерів конкретного товару не менше 3-х, також береться аналіз інформації з відкритих джерел (інтернет, прайси, каталоги). у т.ч. використовуючи наказ Міністерства розвитку економіки, торгівлі та сільського господарства № 275 від 18.02.2020.</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Проводиться аналіз потенційних постачальників щодо їх фігурування у корупційних справах та в судових рішеннях. У ДВБ функціонує відділ моніторингу державних закупівель, який постійно згідно функціональних обовязків:</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-здійснює моніторинг процедур публічних закупівель, проведених замовниками, що входять до сфери управління НПУ;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-здійснює виявлення ризикових процедур публічних закупівель;</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-бере участь у засіданнях комісій, робочих груп та інших дорадчих органів, створених замовниками сфери управління НПУ для організації процесу публічних закупівель;</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-здійснює підготовку аналітичних матеріалів щодо суб’єктів господарювання, які є постачальниками товарів робіт та послуг для НПУ та підпорядкованих установ.</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 результатами відпрацювання процедур закупівель працівниками ДВБ встановлений факт вчинення окремими суб’єктами господарювання узгоджених дій, що містили ознаки зловживання з бюджетними коштами Державної установи, що входить до сфери управління НПУ у сумі понад 1млн грн. За зібраними матеріалами 05.08.2022 відкрито кримінальне провадження за ч. 2 ст. 364 КК України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 результатом супроводження договорів встановлений та попереджений факт порушень під час постачання та розподілу майна призначеного для виконання особовим складом НПУ заходів із відсічі збройної агресії російської федерації.</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Моніторингом закупівель, проведених підрозділами ДПО НПУ в областях у період дії правового режиму воєнного стану, встановлені факти закупівлі боєприпасів, засобів індивідуального захисту та комплектуючих до них, які проведені з порушеннями вимог законодавства в частині включення до вартості товару сум ПДВ.Вжито заходів з повернення на рахунки підрозділів ДПО НПУ зайво сплачених понад 760 000 грн.</w:t>
            </w:r>
          </w:p>
          <w:p>
            <w:pPr>
              <w:pStyle w:val="Normal"/>
              <w:widowControl w:val="false"/>
              <w:tabs>
                <w:tab w:val="clear" w:pos="708"/>
                <w:tab w:val="left" w:pos="851" w:leader="none"/>
              </w:tabs>
              <w:spacing w:lineRule="auto" w:line="240" w:before="0" w:after="0"/>
              <w:ind w:right="56" w:hanging="0"/>
              <w:jc w:val="both"/>
              <w:rPr>
                <w:rFonts w:ascii="Times New Roman" w:hAnsi="Times New Roman" w:eastAsia="Calibri" w:eastAsiaTheme="minorHAnsi"/>
                <w:sz w:val="14"/>
                <w:szCs w:val="14"/>
                <w:lang w:val="uk-UA"/>
              </w:rPr>
            </w:pPr>
            <w:r>
              <w:rPr>
                <w:rFonts w:eastAsia="Calibri" w:ascii="Times New Roman" w:hAnsi="Times New Roman" w:eastAsiaTheme="minorHAnsi"/>
                <w:sz w:val="14"/>
                <w:szCs w:val="14"/>
                <w:lang w:val="uk-UA"/>
              </w:rPr>
              <w:t>За результатами аналізу отриманих відомостей про закупівлі ГУНП в областях встановлені окремі порушення порядку їх проведення:</w:t>
            </w:r>
          </w:p>
          <w:p>
            <w:pPr>
              <w:pStyle w:val="Normal"/>
              <w:widowControl w:val="false"/>
              <w:tabs>
                <w:tab w:val="clear" w:pos="708"/>
                <w:tab w:val="left" w:pos="851" w:leader="none"/>
              </w:tabs>
              <w:spacing w:lineRule="auto" w:line="240" w:before="0" w:after="0"/>
              <w:ind w:right="62" w:firstLine="709"/>
              <w:jc w:val="both"/>
              <w:rPr>
                <w:rFonts w:ascii="Times New Roman" w:hAnsi="Times New Roman" w:eastAsia="Calibri" w:eastAsiaTheme="minorHAnsi"/>
                <w:sz w:val="14"/>
                <w:szCs w:val="14"/>
                <w:lang w:val="uk-UA"/>
              </w:rPr>
            </w:pPr>
            <w:r>
              <w:rPr>
                <w:rFonts w:eastAsia="Calibri" w:ascii="Times New Roman" w:hAnsi="Times New Roman" w:eastAsiaTheme="minorHAnsi"/>
                <w:sz w:val="14"/>
                <w:szCs w:val="14"/>
                <w:lang w:val="uk-UA"/>
              </w:rPr>
              <w:t>-</w:t>
              <w:tab/>
              <w:t>закупівля автотранспорту на суму 1,8 млн. грн. (Івано-Франківська область);</w:t>
            </w:r>
          </w:p>
          <w:p>
            <w:pPr>
              <w:pStyle w:val="Normal"/>
              <w:widowControl w:val="false"/>
              <w:tabs>
                <w:tab w:val="clear" w:pos="708"/>
                <w:tab w:val="left" w:pos="851" w:leader="none"/>
              </w:tabs>
              <w:spacing w:lineRule="auto" w:line="240" w:before="0" w:after="0"/>
              <w:ind w:right="62" w:firstLine="709"/>
              <w:jc w:val="both"/>
              <w:rPr>
                <w:rFonts w:ascii="Times New Roman" w:hAnsi="Times New Roman" w:eastAsia="Calibri" w:eastAsiaTheme="minorHAnsi"/>
                <w:sz w:val="14"/>
                <w:szCs w:val="14"/>
                <w:lang w:val="uk-UA"/>
              </w:rPr>
            </w:pPr>
            <w:r>
              <w:rPr>
                <w:rFonts w:eastAsia="Calibri" w:ascii="Times New Roman" w:hAnsi="Times New Roman" w:eastAsiaTheme="minorHAnsi"/>
                <w:sz w:val="14"/>
                <w:szCs w:val="14"/>
                <w:lang w:val="uk-UA"/>
              </w:rPr>
              <w:t>-</w:t>
              <w:tab/>
              <w:t>закупівля броньованого автомобіля на суму 3,9 млн грн (Черкаська область);</w:t>
            </w:r>
          </w:p>
          <w:p>
            <w:pPr>
              <w:pStyle w:val="Normal"/>
              <w:widowControl w:val="false"/>
              <w:tabs>
                <w:tab w:val="clear" w:pos="708"/>
                <w:tab w:val="left" w:pos="851" w:leader="none"/>
              </w:tabs>
              <w:spacing w:lineRule="auto" w:line="240" w:before="0" w:after="0"/>
              <w:ind w:right="62" w:firstLine="709"/>
              <w:jc w:val="both"/>
              <w:rPr>
                <w:rFonts w:ascii="Times New Roman" w:hAnsi="Times New Roman" w:eastAsia="Calibri" w:eastAsiaTheme="minorHAnsi"/>
                <w:sz w:val="14"/>
                <w:szCs w:val="14"/>
                <w:lang w:val="uk-UA"/>
              </w:rPr>
            </w:pPr>
            <w:r>
              <w:rPr>
                <w:rFonts w:eastAsia="Calibri" w:ascii="Times New Roman" w:hAnsi="Times New Roman" w:eastAsiaTheme="minorHAnsi"/>
                <w:sz w:val="14"/>
                <w:szCs w:val="14"/>
                <w:lang w:val="uk-UA"/>
              </w:rPr>
              <w:t>-</w:t>
              <w:tab/>
              <w:t>закупівля відео та серверного обладнання на суму 50 млн грн (Черкаська область);</w:t>
            </w:r>
          </w:p>
          <w:p>
            <w:pPr>
              <w:pStyle w:val="Normal"/>
              <w:widowControl w:val="false"/>
              <w:tabs>
                <w:tab w:val="clear" w:pos="708"/>
                <w:tab w:val="left" w:pos="851" w:leader="none"/>
              </w:tabs>
              <w:spacing w:lineRule="auto" w:line="240" w:before="0" w:after="0"/>
              <w:ind w:right="62" w:firstLine="709"/>
              <w:jc w:val="both"/>
              <w:rPr>
                <w:rFonts w:ascii="Times New Roman" w:hAnsi="Times New Roman" w:eastAsia="Calibri" w:eastAsiaTheme="minorHAnsi"/>
                <w:sz w:val="14"/>
                <w:szCs w:val="14"/>
                <w:lang w:val="uk-UA"/>
              </w:rPr>
            </w:pPr>
            <w:r>
              <w:rPr>
                <w:rFonts w:eastAsia="Calibri" w:ascii="Times New Roman" w:hAnsi="Times New Roman" w:eastAsiaTheme="minorHAnsi"/>
                <w:sz w:val="14"/>
                <w:szCs w:val="14"/>
                <w:lang w:val="uk-UA"/>
              </w:rPr>
              <w:t>-</w:t>
              <w:tab/>
              <w:t>закупівля пального та ПММ на суму 10,3 млн. грн (ДУ системи МВС);</w:t>
            </w:r>
          </w:p>
          <w:p>
            <w:pPr>
              <w:pStyle w:val="Normal"/>
              <w:widowControl w:val="false"/>
              <w:tabs>
                <w:tab w:val="clear" w:pos="708"/>
                <w:tab w:val="left" w:pos="851" w:leader="none"/>
              </w:tabs>
              <w:spacing w:lineRule="auto" w:line="240" w:before="0" w:after="0"/>
              <w:ind w:right="62" w:firstLine="709"/>
              <w:jc w:val="both"/>
              <w:rPr>
                <w:rFonts w:ascii="Times New Roman" w:hAnsi="Times New Roman" w:eastAsia="Calibri" w:eastAsiaTheme="minorHAnsi"/>
                <w:sz w:val="14"/>
                <w:szCs w:val="14"/>
                <w:lang w:val="uk-UA"/>
              </w:rPr>
            </w:pPr>
            <w:r>
              <w:rPr>
                <w:rFonts w:eastAsia="Calibri" w:ascii="Times New Roman" w:hAnsi="Times New Roman" w:eastAsiaTheme="minorHAnsi"/>
                <w:sz w:val="14"/>
                <w:szCs w:val="14"/>
                <w:lang w:val="uk-UA"/>
              </w:rPr>
              <w:t>- закупівля обладнання на суму 2,8 млн.грн. (Рівненська область);</w:t>
            </w:r>
          </w:p>
          <w:p>
            <w:pPr>
              <w:pStyle w:val="Normal"/>
              <w:widowControl w:val="false"/>
              <w:tabs>
                <w:tab w:val="clear" w:pos="708"/>
                <w:tab w:val="left" w:pos="851" w:leader="none"/>
              </w:tabs>
              <w:spacing w:lineRule="auto" w:line="240" w:before="0" w:after="0"/>
              <w:ind w:right="62" w:hanging="0"/>
              <w:jc w:val="both"/>
              <w:rPr>
                <w:rFonts w:ascii="Times New Roman" w:hAnsi="Times New Roman" w:eastAsia="Calibri" w:eastAsiaTheme="minorHAnsi"/>
                <w:sz w:val="14"/>
                <w:szCs w:val="14"/>
                <w:lang w:val="uk-UA"/>
              </w:rPr>
            </w:pPr>
            <w:r>
              <w:rPr>
                <w:rFonts w:eastAsia="Calibri" w:ascii="Times New Roman" w:hAnsi="Times New Roman" w:eastAsiaTheme="minorHAnsi"/>
                <w:sz w:val="14"/>
                <w:szCs w:val="14"/>
                <w:lang w:val="uk-UA"/>
              </w:rPr>
              <w:t>Закупівля відео та серверного обладнання на суму 50 млн. грн. (Львівська область).</w:t>
            </w:r>
          </w:p>
          <w:p>
            <w:pPr>
              <w:pStyle w:val="Normal"/>
              <w:widowControl w:val="false"/>
              <w:tabs>
                <w:tab w:val="clear" w:pos="708"/>
                <w:tab w:val="left" w:pos="851" w:leader="none"/>
              </w:tabs>
              <w:spacing w:lineRule="auto" w:line="240" w:before="0" w:after="0"/>
              <w:ind w:right="62" w:hanging="0"/>
              <w:jc w:val="both"/>
              <w:rPr>
                <w:rFonts w:ascii="Times New Roman" w:hAnsi="Times New Roman" w:eastAsia="Calibri" w:eastAsiaTheme="minorHAnsi"/>
                <w:sz w:val="14"/>
                <w:szCs w:val="14"/>
                <w:lang w:val="uk-UA"/>
              </w:rPr>
            </w:pPr>
            <w:r>
              <w:rPr>
                <w:rFonts w:eastAsia="Calibri" w:ascii="Times New Roman" w:hAnsi="Times New Roman" w:eastAsiaTheme="minorHAnsi"/>
                <w:sz w:val="14"/>
                <w:szCs w:val="14"/>
                <w:lang w:val="uk-UA"/>
              </w:rPr>
              <w:t>В адреси замовників підготовлено та направлено листи на отримання документів та усунення порушень.</w:t>
            </w:r>
          </w:p>
          <w:p>
            <w:pPr>
              <w:pStyle w:val="Normal"/>
              <w:widowControl w:val="false"/>
              <w:tabs>
                <w:tab w:val="clear" w:pos="708"/>
                <w:tab w:val="left" w:pos="851" w:leader="none"/>
              </w:tabs>
              <w:spacing w:lineRule="auto" w:line="240" w:before="0" w:after="0"/>
              <w:ind w:right="62" w:hanging="0"/>
              <w:jc w:val="both"/>
              <w:rPr>
                <w:rFonts w:ascii="Times New Roman" w:hAnsi="Times New Roman"/>
                <w:sz w:val="14"/>
                <w:szCs w:val="14"/>
                <w:lang w:val="uk-UA"/>
              </w:rPr>
            </w:pPr>
            <w:r>
              <w:rPr>
                <w:rFonts w:ascii="Times New Roman" w:hAnsi="Times New Roman"/>
                <w:sz w:val="14"/>
                <w:szCs w:val="14"/>
                <w:lang w:val="uk-UA"/>
              </w:rPr>
              <w:t>За результатами відпрацювання процедур закупівель працівниками відділу встановлений факт вчинення окремими суб’єктами господарювання узгоджених дій, що містили ознаки зловживання з бюджетними коштами Державної установи, що входить до сфери управління МВС. За зібраними матеріалами 15.02.2023 відкрито кримінальне провадження за ч. 5 ст. 191 КК України, оперативне супроводження досудового розслідування у якому здійснюється працівниками відділу. Тривають перевірки ризикових закупівель проведених підрозділами НПУ у Черкаській, Рівненській, Полтавській та Львівській областях.</w:t>
            </w:r>
          </w:p>
          <w:p>
            <w:pPr>
              <w:pStyle w:val="Normal"/>
              <w:widowControl w:val="false"/>
              <w:spacing w:lineRule="auto" w:line="240" w:before="0" w:after="0"/>
              <w:ind w:right="14" w:hanging="0"/>
              <w:jc w:val="both"/>
              <w:rPr>
                <w:rFonts w:ascii="Times New Roman" w:hAnsi="Times New Roman"/>
                <w:sz w:val="14"/>
                <w:szCs w:val="14"/>
                <w:lang w:val="uk-UA"/>
              </w:rPr>
            </w:pPr>
            <w:r>
              <w:rPr>
                <w:rFonts w:ascii="Times New Roman" w:hAnsi="Times New Roman"/>
                <w:sz w:val="14"/>
                <w:szCs w:val="14"/>
                <w:lang w:val="uk-UA" w:eastAsia="ru-RU"/>
              </w:rPr>
              <w:t>З метою дотримання вимог Закону України «Про запобігання корупції», з урахуванням наданих пропозицій підрозділів поліції                         та виконання рекомендацій НАЗК викладених у акті планової перевірки 2023-2024 років, Головою НПУ доручено керівникам ДУМ, територіальних органів поліції, міжрегіональних територіальних органів поліції,</w:t>
            </w:r>
            <w:r>
              <w:rPr>
                <w:rFonts w:ascii="Times New Roman" w:hAnsi="Times New Roman"/>
                <w:spacing w:val="-8"/>
                <w:sz w:val="14"/>
                <w:szCs w:val="14"/>
                <w:shd w:fill="FFFFFF" w:val="clear"/>
                <w:lang w:val="uk-UA" w:eastAsia="ru-RU"/>
              </w:rPr>
              <w:t xml:space="preserve"> </w:t>
            </w:r>
            <w:r>
              <w:rPr>
                <w:rFonts w:ascii="Times New Roman" w:hAnsi="Times New Roman"/>
                <w:sz w:val="14"/>
                <w:szCs w:val="14"/>
                <w:lang w:val="uk-UA" w:eastAsia="ru-RU"/>
              </w:rPr>
              <w:t>державних закладів та установ що належать до сфери НПУ привести у відповідність організаційно-розпорядчі документи (накази, доручення) якими передбачити включення представників уповноважених підрозділів (уповноважених осіб) з питань запобігання та виявлення корупції    до складу діючих у НПУ робочих груп з надання фахових консультацій з питань публічних закупівель товарів, робіт і послуг оборонного призначення, інших товарів, робіт і послуг для гарантованого забезпечення потреб безпеки і оборони (без права голосування) щодо здійснення аналізу потенційних та наявних контрагентів у публічних закупівлях,</w:t>
            </w:r>
            <w:r>
              <w:rPr>
                <w:lang w:val="uk-UA" w:eastAsia="ru-RU"/>
              </w:rPr>
              <w:t xml:space="preserve"> </w:t>
            </w:r>
            <w:r>
              <w:rPr>
                <w:rFonts w:ascii="Times New Roman" w:hAnsi="Times New Roman"/>
                <w:sz w:val="14"/>
                <w:szCs w:val="14"/>
                <w:lang w:val="uk-UA" w:eastAsia="ru-RU"/>
              </w:rPr>
              <w:t>з визначенням обсягу                              їх повноважень (доручення Голови НПУ №26229/47-2024 від 26 березня 2024 року)</w:t>
            </w:r>
            <w:r>
              <w:rPr>
                <w:rFonts w:ascii="Times New Roman" w:hAnsi="Times New Roman"/>
                <w:sz w:val="14"/>
                <w:szCs w:val="14"/>
                <w:lang w:val="uk-UA"/>
              </w:rPr>
              <w:t xml:space="preserve"> </w:t>
            </w:r>
          </w:p>
          <w:p>
            <w:pPr>
              <w:pStyle w:val="Normal"/>
              <w:widowControl w:val="false"/>
              <w:spacing w:lineRule="auto" w:line="240" w:before="0" w:after="0"/>
              <w:ind w:right="14"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tabs>
                <w:tab w:val="clear" w:pos="708"/>
                <w:tab w:val="left" w:pos="851" w:leader="none"/>
              </w:tabs>
              <w:spacing w:lineRule="auto" w:line="240" w:before="0" w:after="0"/>
              <w:ind w:right="62" w:hanging="0"/>
              <w:jc w:val="both"/>
              <w:rPr>
                <w:rFonts w:ascii="Times New Roman" w:hAnsi="Times New Roman" w:eastAsia="Calibri" w:eastAsiaTheme="minorHAnsi"/>
                <w:sz w:val="14"/>
                <w:szCs w:val="14"/>
                <w:lang w:val="uk-UA"/>
              </w:rPr>
            </w:pPr>
            <w:r>
              <w:rPr>
                <w:rFonts w:eastAsia="Calibri" w:eastAsiaTheme="minorHAnsi" w:ascii="Times New Roman" w:hAnsi="Times New Roman"/>
                <w:sz w:val="14"/>
                <w:szCs w:val="14"/>
                <w:lang w:val="uk-UA"/>
              </w:rPr>
            </w:r>
          </w:p>
          <w:p>
            <w:pPr>
              <w:pStyle w:val="Normal"/>
              <w:widowControl w:val="false"/>
              <w:tabs>
                <w:tab w:val="clear" w:pos="708"/>
                <w:tab w:val="left" w:pos="851" w:leader="none"/>
              </w:tabs>
              <w:spacing w:lineRule="auto" w:line="240" w:before="0" w:after="0"/>
              <w:ind w:right="62" w:hanging="0"/>
              <w:jc w:val="both"/>
              <w:rPr>
                <w:rFonts w:ascii="Times New Roman" w:hAnsi="Times New Roman" w:eastAsia="Calibri" w:eastAsiaTheme="minorHAnsi"/>
                <w:sz w:val="14"/>
                <w:szCs w:val="14"/>
                <w:lang w:val="uk-UA"/>
              </w:rPr>
            </w:pPr>
            <w:r>
              <w:rPr>
                <w:rFonts w:eastAsia="Calibri" w:eastAsiaTheme="minorHAnsi"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19</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VI. Сфера публічних закупівель Національної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Потенційні упереджені дискреційні повноваження посадових осіб поліції, які входять до складу тендерних комітетів</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У зв’язку з можливою наявністю приватного інтересу у посадових осіб поліції, які входять до складу тендерних комітетів, може  виникнути упереджений підхід до розгляду тендерних пропозицій, а саме можливість відхилення пропозицій учасників за несуттєві помилки  у документації, одночасно ігнорування таких недоліків у раніш визначеного (за змовою) учасника</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1.Юридична невизначеність прав і обов’язків  членів тендерного комітету</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2.Неврегульованість внутрішніх організаційно-нормативних актів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посадових  осіб поліції поліції, які входять до складу тендерних комітетів</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1.Використовується документація, згідно з ЗУ «Про публічні закупівлі», проведення процедур закупівель відбувається в електронній системі ProZorro</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2.Оприлюднюються проекти відповідної документації на офіційному веб-сайті для обговорення</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3.Тренінги із вивчення антикорупційного законодавства, із попередженням працівників поліції про відповідальність, яка настає за його порушення</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3</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1.Розробка та запровадження типових внутрішніх інструкцій по регламентації прав і обов’язків членів тендерного комітету, системи контролю за прийнятими рішеннями, механізму повідомлення учасником про порушення його прав, із обов’язковим залученням працівника уповноваженого підрозділу (уповноважену особу) з питань запобігання та виявлення корупції підрозділу</w:t>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2.Затвердження Порядку планування потреб підрозділів (установ) НПУ щодо закупівлі необхідних для забезпечення їх діяльності товарів, робіт та послуг та відповідно – запровадження такого Порядку в діяльності</w:t>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3.Залучення третіх осіб (незалежних фахівців, представників громадськості) до процедури розгляду тендерної документації</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4.Проведення додаткових навчань працівників поліції зі знання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 при проведенні закупівлі</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 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t>Розроблено та запроваджено типові внутрішні інструкції</w:t>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t>Затверджено Порядок планування потреб підрозділів (установ) НПУ</w:t>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t>Перелік заходів із залученням представників громадськості</w:t>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4"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t>10.05.22</w:t>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t>27.04.22</w:t>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2"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5" w:right="-106"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3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В умовах воєнного стану в центральному органі управління поліції утворено  колегіальну робочу групу (далі – робоча група), затверджену Наказом НПУ від 10.05.2022 № 311 «Про організацію закупівель товарів (робіт чи послуг) у центральному органі управління поліції в період дії воєнного стану», у якому запроваджені типові внутрішні інструкції по регламентації прав і обов’язків членів тендерного комітету тощо.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Також наказом ДУ «ЦОП Національної поліції України» від 04.01.2022 № 1 «Про призначення уповноважених осіб, відповідальних за організацію та проведення процедури закупівлі, умови та порядок проведення яких визначено Законом України «Про публічні закупівлі» затверджено Положення про уповноважену особу ДУ «ЦОП Національної поліції України» регламентує права і обов’язки уповноважених осіб з організації та проведення процедур закупівель.</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З метою виключення потенційних упереджених дискреційних повноважень посадових осіб поліції, які входять до складу тендерних комітетів, у т.ч. антикорупційних уповноважених, УЗК розроблені  додаткові рекомендації щодо участі антикорупційних уповноважених у комісіях з різних питань (від 02.08.2023                            № 617/47-1-2023)</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Здійснюється в умовах воєнного стану  згідно постанови КМУ від 28 лютого 2022 р. № 169 «Деякі питання здійснення оборонних та публічних закупівель товарів, робіт і послуг в умовах воєнного стану». Також підготовлено та використовується наказ НПУ від 27.04.2022 № 285 «Про окремі питання оформлення передачі майна в органах та установах поліції в період дії воєнного стану»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 вказівкою керівництва НПУ формуються позиції напрямів закупівель Переліку товарів, робіт та послуг оборонного призначення, що закуповуються Центральним органом управління Національної поліції України, в умовах воєнного стану, відповідно до постанови КМУ від 11 листопада 2022 р. №1275 і в обов’язковому порядку затверджується заступником Голови НПУ.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Під час опрацювання документів щодо проведення закупівель, у разі необхідності залучаються фахівці зацікавлених підрозділів для надання фахової допомоги.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Також з урахуванням питань порядку денного запланованого засідання робочої групи на засідання можуть бути запрошені:</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експерти та/або фахівці органів (підрозділів) поліції, що залучаються до роботи робочої групи;</w:t>
            </w:r>
          </w:p>
          <w:p>
            <w:pPr>
              <w:pStyle w:val="Normal"/>
              <w:widowControl w:val="false"/>
              <w:spacing w:lineRule="auto" w:line="240" w:before="0" w:after="0"/>
              <w:ind w:right="28" w:hanging="0"/>
              <w:jc w:val="both"/>
              <w:rPr>
                <w:lang w:val="ru-RU"/>
              </w:rPr>
            </w:pPr>
            <w:r>
              <w:rPr>
                <w:rFonts w:ascii="Times New Roman" w:hAnsi="Times New Roman"/>
                <w:sz w:val="14"/>
                <w:szCs w:val="14"/>
                <w:lang w:val="uk-UA"/>
              </w:rPr>
              <w:t>представники підприємств, установ, організацій чи інших фізичних (юридичних) осіб тощо.</w:t>
            </w:r>
            <w:r>
              <w:rPr>
                <w:bCs/>
                <w:lang w:val="ru-RU"/>
              </w:rPr>
              <w:t xml:space="preserve"> </w:t>
            </w:r>
            <w:r>
              <w:rPr>
                <w:rFonts w:ascii="Times New Roman" w:hAnsi="Times New Roman"/>
                <w:bCs/>
                <w:sz w:val="14"/>
                <w:szCs w:val="14"/>
                <w:lang w:val="uk-UA"/>
              </w:rPr>
              <w:t>Під час розгляду документів щодо проведення закупівель для надання фахової допомоги Робочій групі, неодноразово залучалися фахівці Департаменту превентивної діяльності у складі, як керівника так і провідних фахівців, також представники підрозділів поліції особливого призначення, підрозділу «Корпус оперативно-раптової дії» та представники Департаменту поліції особливого призначення «Об'єднана штурмова бригада Національної поліції України „Лють“».</w:t>
            </w:r>
          </w:p>
          <w:p>
            <w:pPr>
              <w:pStyle w:val="Normal"/>
              <w:widowControl w:val="false"/>
              <w:spacing w:lineRule="auto" w:line="240" w:before="0" w:after="0"/>
              <w:ind w:right="28" w:hanging="0"/>
              <w:jc w:val="both"/>
              <w:rPr>
                <w:lang w:val="ru-RU"/>
              </w:rPr>
            </w:pPr>
            <w:r>
              <w:rPr>
                <w:lang w:val="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20</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VI.</w:t>
            </w:r>
            <w:r>
              <w:rPr>
                <w:rFonts w:ascii="Times New Roman" w:hAnsi="Times New Roman"/>
                <w:sz w:val="14"/>
                <w:szCs w:val="14"/>
                <w:lang w:val="ru-RU"/>
              </w:rPr>
              <w:t xml:space="preserve"> </w:t>
            </w:r>
            <w:r>
              <w:rPr>
                <w:rFonts w:ascii="Times New Roman" w:hAnsi="Times New Roman"/>
                <w:sz w:val="14"/>
                <w:szCs w:val="14"/>
                <w:lang w:val="uk-UA"/>
              </w:rPr>
              <w:t>Сфера публічних закупівель Національної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Можливе приховування будь-яким членом тендерного комітету наявного у нього конфлікту інтересів при проведені процедур  розгляду тендерних пропозицій.</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Можливість умисного неповідомлення членами тендерного комітету про виникнення конфлікту інтересів при проведені процедур  розгляду тендерних пропозицій, що може привести до надання незаконної переваги окремому учаснику таких процедур.</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1.Неврегульованість організаційно-нормативних актів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2.Юридична невизначеність прав і обов’язків  членів тендерного комітету</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посадових  осіб поліції поліції, які входять до складу тендерних комітетів</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1.Запровадженя процесу офіційного засвідчення про відсутність конфлікту інтересів членами тендерного комітету</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2.Попередження кожного члену тендерного комітету про порушення законодавства щодо здійснення публічних закупівель та антикорупційного законодавства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3.Тренінги із вивчення антикорупційного законодавства, із попередженням працівників поліції про відповідальність, яка настає за його порушення</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2" w:hanging="0"/>
              <w:jc w:val="center"/>
              <w:rPr>
                <w:rFonts w:ascii="Times New Roman" w:hAnsi="Times New Roman"/>
                <w:sz w:val="14"/>
                <w:szCs w:val="14"/>
                <w:lang w:val="uk-UA"/>
              </w:rPr>
            </w:pPr>
            <w:r>
              <w:rPr>
                <w:rFonts w:ascii="Times New Roman" w:hAnsi="Times New Roman"/>
                <w:sz w:val="14"/>
                <w:szCs w:val="14"/>
                <w:lang w:val="uk-UA"/>
              </w:rPr>
              <w:t>3</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2"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2"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1. З метою провадження нових механізмів і практик, визначення (запобігання) конфлікту інтересів серед працівників поліції, у т.ч. під час проведення процедур закупівель, надати пропозиції до МВС із подальшим їх направленням до НАЗК про внесення змін до Закону України «Про запобігання корупції, а саме:</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викласти пункт другий частини першої ст. 28 у наступній редакції: «письмово повідомляти не пізніше двох робочих днів з моменту, коли особа дізналася чи повинна була дізнатися про наявність у неї реального чи потенційного конфлікту інтересів безпосереднього керівника, а у випадку перебування особи на посаді, яка не передбачає наявності у неї безпосереднього керівника, або в колегіальному органі – Національне агентство чи інший визначений законом орган або колегіальний орган, під час виконання повноважень у якому виник конфлікт інтересів, відповідно»;  викласти частину 3 ст. 28 у такій редакції: «безпосередній керівник</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особи або керівник органу, до повноважень якого належить звільнення/ініціювання звільнення з посади протягом трьох робочих днів після отримання повідомлення про наявність у підлеглої йому особи реального чи потенційного конфлікту інтересів приймає рішення щодо врегулювання конфлікту інтересів, про що повідомляє відповідну особу»</w:t>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2.Розробка типової внутрішньої інструкції щодо порядку недопущення конфлікту інтересів у членів тендерного комітету поліції при проведенні процедур публічних закупівель</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3.Розробка методичних матеріалів з питань запобігання та врегулювання конфлікту інтересів (пам’ятки, плакати, інфографіки, алгоритми тощо)</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4.Додатково попереджати посадових осіб поліції                         (членів тендерного комітету) про відповідальність, яка настає за порушення законодавства щодо здійснення закупівель та антикорупційного законодавства</w:t>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5.Проведення додаткових навчань працівників поліції зі знання антикорупційного законодавства, з врахуванням внесення до нього змін</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30.03.22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 при проведенні закупівлі</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 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t>Пропозиції до МВС  про внесення змін до статті 28  Закону України «Про запобігання корупції» надані</w:t>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t>Розроблено типову інструкцію</w:t>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t>Розроблено методичні матеріали</w:t>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t>Забезпечено здійснення додаткових попереджень посадових осіб поліції</w:t>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t>30.06.22</w:t>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t>31.03.23</w:t>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t>06.09.22</w:t>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18" w:hanging="0"/>
              <w:jc w:val="center"/>
              <w:rPr>
                <w:rFonts w:ascii="Times New Roman" w:hAnsi="Times New Roman"/>
                <w:sz w:val="14"/>
                <w:szCs w:val="14"/>
                <w:lang w:val="uk-UA"/>
              </w:rPr>
            </w:pPr>
            <w:r>
              <w:rPr>
                <w:rFonts w:ascii="Times New Roman" w:hAnsi="Times New Roman"/>
                <w:sz w:val="14"/>
                <w:szCs w:val="14"/>
                <w:lang w:val="uk-UA"/>
              </w:rPr>
              <w:t>30.06.24</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5" w:right="-110"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Пропозиції до МВС та НАЗК  про внесення змін до статті 28  Закону України «Про запобігання корупції» надані (лист УЗК НПУ до МВС від 13 червня 2022 року           №377/47-2-2022, лист УЗК НПУ до НАЗК від 21 вересня 2022 року №615/47-2-2022)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Наказом НПУ від 10.05.2022 № 311 «Про організацію закупівель товарів (робіт чи послуг) у центральному органі управління поліції в період дії воєнного стану», визначений у т.ч.  порядок недопущення конфлікту інтересів у повноважених осіб при проведенні процедур публічних закупівель. У разі виникнення реального чи потенційного конфлікту інтересів у членів робочої групи або інших учасників засідання та неможливості через це брати участь у роботі групи, вони зобов’язані письмово повідомити про це її Голову. У разі ненадання зазначеної інформації відповідні особи несуть відповідальність згідно із законодавством України.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 конфлікт інтересів членів робочої групи, її Голови або інших учасників засідання може заявити будь який учасник засідання. Заява про конфлікт інтересів члена робочої групи, її Голови або інших учасників засідання заноситься в протокол засідання робочої групи.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метою продовження і поглиблення співпраці із Консультативною місією Європейського Союзу в Україні (КМЄС в Україні) у сфері боротьби з корупцією, обговорення поточних і майбутніх напрямків співробітництва, розробки методичних матеріалів у т.ч. з питань запобігання та врегулювання конфлікту інтересів (пам’яток, плакатів, інфографіків, алгоритмів тощо), 06.09.2022 між працівниками УЗК НПУ та представниками КМЄС в Україні відбулася зустріч з вищевказаних питань.</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Розроблено пам’ятку щодо запобігання та врегулювання конфліктів інтересів у діяльності уповноважених осіб та членів робочої групи, відповідальних за організацію та проведення процедур закупівлі в органах поліції, при проведені процедур розгляду тендерних пропозицій (доповідна із додатками УЗК НПУ на Голову НПУ від 19.10.2022 № 26682)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уповноважених осіб  для здійснення процедур закупівель у НПУ про відповідальність, яка настає за порушення законодавства щодо здійснення закупівель та антикорупційного законодавства проведені перед проведенням процедур закупівлі.</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09.01.2023 - на виконання листа від 23.12.2022 № 5811/12/7/01-2022 розроблені тематичні плани для організації занять у системі службової підготовки  особового складу УЗК. </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21</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7" w:hanging="0"/>
              <w:rPr>
                <w:rFonts w:ascii="Times New Roman" w:hAnsi="Times New Roman"/>
                <w:sz w:val="14"/>
                <w:szCs w:val="14"/>
                <w:lang w:val="uk-UA"/>
              </w:rPr>
            </w:pPr>
            <w:r>
              <w:rPr>
                <w:rFonts w:ascii="Times New Roman" w:hAnsi="Times New Roman"/>
                <w:sz w:val="14"/>
                <w:szCs w:val="14"/>
                <w:lang w:val="uk-UA"/>
              </w:rPr>
              <w:t>VII. Надання адміністративних послуг Національною поліцією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отримання неправомірної вигоди під час проведення процедури первинного оформлення або продовження дії  документів дозвільного характеру на придбання, зберігання,  користування, зброї  та боєприпасів</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Працівник поліції використовуючи владні повноваження може  вимагати, прийняти пропозицію, обіцянку або одержати неправомірну вигоду від особи за видачу відповідних дозволів на придбання, зберігання, користування, зброї  та боєприпасів, без надання повного переліку необхідних документів чи з порушенням відповідних термінів</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система відомчого контролю  за процесом видачі або продовження відповідних дозволів на придбання, зберігання, користування, зброї  та боєприпасів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працівника поліції під час надання відповідних послуг</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107" w:hanging="0"/>
              <w:rPr>
                <w:rFonts w:ascii="Times New Roman" w:hAnsi="Times New Roman"/>
                <w:sz w:val="14"/>
                <w:szCs w:val="14"/>
                <w:lang w:val="uk-UA"/>
              </w:rPr>
            </w:pPr>
            <w:r>
              <w:rPr>
                <w:rFonts w:ascii="Times New Roman" w:hAnsi="Times New Roman"/>
                <w:sz w:val="14"/>
                <w:szCs w:val="14"/>
                <w:lang w:val="uk-UA"/>
              </w:rPr>
              <w:t>1.Перевірки додержання процедури оформлення відповідних дозволів та дотримання строків їх видачі</w:t>
            </w:r>
          </w:p>
          <w:p>
            <w:pPr>
              <w:pStyle w:val="Normal"/>
              <w:widowControl w:val="false"/>
              <w:spacing w:lineRule="auto" w:line="240" w:before="0" w:after="0"/>
              <w:ind w:left="-13"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107" w:hanging="0"/>
              <w:rPr>
                <w:rFonts w:ascii="Times New Roman" w:hAnsi="Times New Roman"/>
                <w:sz w:val="14"/>
                <w:szCs w:val="14"/>
                <w:lang w:val="uk-UA"/>
              </w:rPr>
            </w:pPr>
            <w:r>
              <w:rPr>
                <w:rFonts w:ascii="Times New Roman" w:hAnsi="Times New Roman"/>
                <w:sz w:val="14"/>
                <w:szCs w:val="14"/>
                <w:lang w:val="uk-UA"/>
              </w:rPr>
              <w:t>2.Розроблено проєкт технічного завдання створення розділу «Електроний кабінет» інформаційної підсистеми «Зареєстрована зброя» ЄІС МВС для удосконалення процедури приймання та розгляду</w:t>
            </w:r>
          </w:p>
          <w:p>
            <w:pPr>
              <w:pStyle w:val="Normal"/>
              <w:widowControl w:val="false"/>
              <w:spacing w:lineRule="auto" w:line="240" w:before="0" w:after="0"/>
              <w:ind w:left="-13" w:right="-107"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документів</w:t>
            </w:r>
          </w:p>
          <w:p>
            <w:pPr>
              <w:pStyle w:val="Normal"/>
              <w:widowControl w:val="false"/>
              <w:spacing w:lineRule="auto" w:line="240" w:before="0" w:after="0"/>
              <w:ind w:left="-13" w:right="-107" w:hanging="0"/>
              <w:rPr>
                <w:rFonts w:ascii="Times New Roman" w:hAnsi="Times New Roman"/>
                <w:sz w:val="14"/>
                <w:szCs w:val="14"/>
                <w:lang w:val="uk-UA"/>
              </w:rPr>
            </w:pPr>
            <w:r>
              <w:rPr>
                <w:rFonts w:ascii="Times New Roman" w:hAnsi="Times New Roman"/>
                <w:sz w:val="14"/>
                <w:szCs w:val="14"/>
                <w:lang w:val="uk-UA"/>
              </w:rPr>
              <w:t>3.Навчання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 xml:space="preserve">1.Автоматизація процесу </w:t>
            </w:r>
            <w:r>
              <w:rPr>
                <w:rFonts w:ascii="Times New Roman" w:hAnsi="Times New Roman"/>
                <w:sz w:val="14"/>
                <w:szCs w:val="14"/>
                <w:lang w:val="uk-UA" w:eastAsia="ru-RU"/>
              </w:rPr>
              <w:t>обліку видачі дозволів на придбання, зберігання і носіння зброї невійськового призначення, вдосконалення системи обліку і контролю такої зброї, забезпечення оперативного доступу правоохоронних органів до всієї наявної інформації про зареєстровану в громадян зброю та власників цієї зброї, контролю закінчення терміну кожного документа, що стає підставою для набуття громадянином</w:t>
            </w:r>
            <w:r>
              <w:rPr>
                <w:lang w:val="uk-UA" w:eastAsia="ru-RU"/>
              </w:rPr>
              <w:t xml:space="preserve"> </w:t>
            </w:r>
            <w:r>
              <w:rPr>
                <w:rFonts w:ascii="Times New Roman" w:hAnsi="Times New Roman"/>
                <w:sz w:val="14"/>
                <w:szCs w:val="14"/>
                <w:lang w:val="uk-UA" w:eastAsia="ru-RU"/>
              </w:rPr>
              <w:t xml:space="preserve">права на володіння зброєю, інтеграція з усіма необхідними реєстрами та відомчими базами та перевірки за ними громадян та наданих ними документів, шляхом створення </w:t>
            </w:r>
            <w:r>
              <w:rPr>
                <w:rFonts w:ascii="Times New Roman" w:hAnsi="Times New Roman"/>
                <w:spacing w:val="-8"/>
                <w:sz w:val="14"/>
                <w:szCs w:val="14"/>
                <w:shd w:fill="FFFFFF" w:val="clear"/>
                <w:lang w:val="uk-UA" w:eastAsia="ru-RU"/>
              </w:rPr>
              <w:t xml:space="preserve">«Єдиного реєстру зброї» </w:t>
            </w:r>
            <w:r>
              <w:rPr>
                <w:rFonts w:ascii="Times New Roman" w:hAnsi="Times New Roman"/>
                <w:sz w:val="14"/>
                <w:szCs w:val="14"/>
                <w:lang w:val="uk-UA" w:eastAsia="ru-RU"/>
              </w:rPr>
              <w:t>як складової Єдиної інформаційної системи МВС</w:t>
            </w:r>
          </w:p>
          <w:p>
            <w:pPr>
              <w:pStyle w:val="Normal"/>
              <w:widowControl w:val="false"/>
              <w:jc w:val="both"/>
              <w:rPr>
                <w:lang w:val="uk-UA"/>
              </w:rPr>
            </w:pPr>
            <w:r>
              <w:rPr>
                <w:lang w:val="uk-UA"/>
              </w:rPr>
            </w:r>
          </w:p>
          <w:p>
            <w:pPr>
              <w:pStyle w:val="Normal"/>
              <w:widowControl w:val="false"/>
              <w:jc w:val="both"/>
              <w:rPr>
                <w:lang w:val="uk-UA"/>
              </w:rPr>
            </w:pPr>
            <w:r>
              <w:rPr>
                <w:lang w:val="uk-UA"/>
              </w:rPr>
            </w:r>
          </w:p>
          <w:p>
            <w:pPr>
              <w:pStyle w:val="Normal"/>
              <w:widowControl w:val="false"/>
              <w:jc w:val="both"/>
              <w:rPr>
                <w:lang w:val="uk-UA"/>
              </w:rPr>
            </w:pPr>
            <w:r>
              <w:rPr>
                <w:lang w:val="uk-UA"/>
              </w:rPr>
            </w:r>
          </w:p>
          <w:p>
            <w:pPr>
              <w:pStyle w:val="Normal"/>
              <w:widowControl w:val="false"/>
              <w:jc w:val="both"/>
              <w:rPr>
                <w:lang w:val="uk-UA"/>
              </w:rPr>
            </w:pPr>
            <w:r>
              <w:rPr>
                <w:lang w:val="uk-UA"/>
              </w:rPr>
            </w:r>
          </w:p>
          <w:p>
            <w:pPr>
              <w:pStyle w:val="Normal"/>
              <w:widowControl w:val="false"/>
              <w:jc w:val="both"/>
              <w:rPr>
                <w:lang w:val="uk-UA"/>
              </w:rPr>
            </w:pPr>
            <w:r>
              <w:rPr>
                <w:lang w:val="uk-UA"/>
              </w:rPr>
            </w:r>
          </w:p>
          <w:p>
            <w:pPr>
              <w:pStyle w:val="Normal"/>
              <w:widowControl w:val="false"/>
              <w:jc w:val="both"/>
              <w:rPr>
                <w:lang w:val="uk-UA"/>
              </w:rPr>
            </w:pPr>
            <w:r>
              <w:rPr>
                <w:lang w:val="uk-UA"/>
              </w:rPr>
            </w:r>
          </w:p>
          <w:p>
            <w:pPr>
              <w:pStyle w:val="Normal"/>
              <w:widowControl w:val="false"/>
              <w:spacing w:lineRule="auto" w:line="240" w:before="0" w:after="0"/>
              <w:ind w:right="140" w:hanging="0"/>
              <w:jc w:val="both"/>
              <w:rPr>
                <w:lang w:val="uk-UA"/>
              </w:rPr>
            </w:pPr>
            <w:r>
              <w:rPr>
                <w:lang w:val="uk-UA"/>
              </w:rPr>
            </w:r>
          </w:p>
          <w:p>
            <w:pPr>
              <w:pStyle w:val="Normal"/>
              <w:widowControl w:val="false"/>
              <w:spacing w:lineRule="auto" w:line="240" w:before="0" w:after="0"/>
              <w:ind w:right="140" w:hanging="0"/>
              <w:jc w:val="both"/>
              <w:rPr>
                <w:lang w:val="uk-UA"/>
              </w:rPr>
            </w:pPr>
            <w:r>
              <w:rPr>
                <w:lang w:val="uk-UA"/>
              </w:rPr>
            </w:r>
          </w:p>
          <w:p>
            <w:pPr>
              <w:pStyle w:val="Normal"/>
              <w:widowControl w:val="false"/>
              <w:spacing w:lineRule="auto" w:line="240" w:before="0" w:after="0"/>
              <w:ind w:right="140" w:hanging="0"/>
              <w:jc w:val="both"/>
              <w:rPr>
                <w:rFonts w:ascii="Times New Roman" w:hAnsi="Times New Roman"/>
                <w:sz w:val="14"/>
                <w:szCs w:val="14"/>
                <w:shd w:fill="FFFFFF" w:val="clear"/>
                <w:lang w:val="uk-UA"/>
              </w:rPr>
            </w:pPr>
            <w:r>
              <w:rPr>
                <w:rFonts w:ascii="Times New Roman" w:hAnsi="Times New Roman"/>
                <w:sz w:val="14"/>
                <w:szCs w:val="14"/>
                <w:lang w:val="uk-UA" w:eastAsia="ru-RU"/>
              </w:rPr>
              <w:t>2.Розробка доручення (наказу) по забезпеченню контролю за дотриманням порядку придбання, обліку зберігання та використання</w:t>
            </w:r>
            <w:r>
              <w:rPr>
                <w:rFonts w:ascii="Times New Roman" w:hAnsi="Times New Roman"/>
                <w:sz w:val="14"/>
                <w:szCs w:val="14"/>
                <w:shd w:fill="FFFFFF" w:val="clear"/>
                <w:lang w:val="uk-UA" w:eastAsia="ru-RU"/>
              </w:rPr>
              <w:t xml:space="preserve"> зброї</w:t>
            </w:r>
            <w:r>
              <w:rPr>
                <w:rFonts w:ascii="Times New Roman" w:hAnsi="Times New Roman"/>
                <w:b/>
                <w:bCs/>
                <w:sz w:val="14"/>
                <w:szCs w:val="14"/>
                <w:lang w:val="uk-UA" w:eastAsia="ru-RU"/>
              </w:rPr>
              <w:t xml:space="preserve"> </w:t>
            </w:r>
            <w:r>
              <w:rPr>
                <w:rFonts w:ascii="Times New Roman" w:hAnsi="Times New Roman"/>
                <w:sz w:val="14"/>
                <w:szCs w:val="14"/>
                <w:shd w:fill="FFFFFF" w:val="clear"/>
                <w:lang w:val="uk-UA" w:eastAsia="ru-RU"/>
              </w:rPr>
              <w:t xml:space="preserve"> та боєприпасів, с визначенням відповідальних посадових осіб поліції, з метою недопущення</w:t>
            </w:r>
            <w:r>
              <w:rPr>
                <w:rFonts w:ascii="Times New Roman" w:hAnsi="Times New Roman"/>
                <w:sz w:val="14"/>
                <w:szCs w:val="14"/>
                <w:shd w:fill="FFFFFF" w:val="clear"/>
                <w:lang w:val="uk-UA"/>
              </w:rPr>
              <w:t xml:space="preserve"> надання</w:t>
            </w:r>
            <w:r>
              <w:rPr>
                <w:shd w:fill="FFFFFF" w:val="clear"/>
                <w:lang w:val="uk-UA"/>
              </w:rPr>
              <w:t xml:space="preserve"> </w:t>
            </w:r>
            <w:r>
              <w:rPr>
                <w:rFonts w:ascii="Times New Roman" w:hAnsi="Times New Roman"/>
                <w:sz w:val="14"/>
                <w:szCs w:val="14"/>
                <w:shd w:fill="FFFFFF" w:val="clear"/>
                <w:lang w:val="uk-UA"/>
              </w:rPr>
              <w:t>(продовження) відповідних дозволів особам, які мають  судимості за злочин, яка не погашена або незнята в установленому порядку</w:t>
            </w:r>
          </w:p>
          <w:p>
            <w:pPr>
              <w:pStyle w:val="Normal"/>
              <w:widowControl w:val="false"/>
              <w:spacing w:lineRule="auto" w:line="240" w:before="0" w:after="0"/>
              <w:ind w:right="-15" w:hanging="0"/>
              <w:rPr>
                <w:rFonts w:ascii="Times New Roman" w:hAnsi="Times New Roman"/>
                <w:sz w:val="14"/>
                <w:szCs w:val="14"/>
                <w:shd w:fill="FFFFFF" w:val="clear"/>
                <w:lang w:val="uk-UA"/>
              </w:rPr>
            </w:pPr>
            <w:r>
              <w:rPr>
                <w:rFonts w:ascii="Times New Roman" w:hAnsi="Times New Roman"/>
                <w:sz w:val="14"/>
                <w:szCs w:val="14"/>
                <w:shd w:fill="FFFFFF" w:val="clear"/>
                <w:lang w:val="uk-UA"/>
              </w:rPr>
            </w:r>
          </w:p>
          <w:p>
            <w:pPr>
              <w:pStyle w:val="Normal"/>
              <w:widowControl w:val="false"/>
              <w:spacing w:lineRule="auto" w:line="240" w:before="0" w:after="0"/>
              <w:ind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 w:hanging="0"/>
              <w:rPr>
                <w:rFonts w:ascii="Times New Roman" w:hAnsi="Times New Roman"/>
                <w:sz w:val="14"/>
                <w:szCs w:val="14"/>
                <w:lang w:val="uk-UA"/>
              </w:rPr>
            </w:pPr>
            <w:r>
              <w:rPr>
                <w:rFonts w:ascii="Times New Roman" w:hAnsi="Times New Roman"/>
                <w:sz w:val="14"/>
                <w:szCs w:val="14"/>
                <w:lang w:val="uk-UA"/>
              </w:rPr>
              <w:t>3.Проводити додаткові навчання працівників поліції зі знання антикорупційного законодавства, з врахуванням внесення до нього змін, з попередженням працівників поліції про відповідальність, яка настає за порушення антикорупційного законодавства</w:t>
            </w:r>
          </w:p>
          <w:p>
            <w:pPr>
              <w:pStyle w:val="Normal"/>
              <w:widowControl w:val="false"/>
              <w:spacing w:lineRule="auto" w:line="240" w:before="0" w:after="0"/>
              <w:ind w:left="-64"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 w:hanging="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31.12.23</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08" w:hanging="0"/>
              <w:jc w:val="center"/>
              <w:rPr>
                <w:rFonts w:ascii="Times New Roman" w:hAnsi="Times New Roman"/>
                <w:sz w:val="14"/>
                <w:szCs w:val="14"/>
                <w:lang w:val="uk-UA" w:eastAsia="ru-RU"/>
              </w:rPr>
            </w:pPr>
            <w:r>
              <w:rPr>
                <w:rFonts w:ascii="Times New Roman" w:hAnsi="Times New Roman"/>
                <w:sz w:val="14"/>
                <w:szCs w:val="14"/>
                <w:lang w:val="uk-UA"/>
              </w:rPr>
              <w:t xml:space="preserve">Після створення </w:t>
            </w:r>
            <w:r>
              <w:rPr>
                <w:rFonts w:ascii="Times New Roman" w:hAnsi="Times New Roman"/>
                <w:spacing w:val="-8"/>
                <w:sz w:val="14"/>
                <w:szCs w:val="14"/>
                <w:shd w:fill="FFFFFF" w:val="clear"/>
                <w:lang w:val="uk-UA" w:eastAsia="ru-RU"/>
              </w:rPr>
              <w:t xml:space="preserve">«Єдиного реєстру зброї» </w:t>
            </w:r>
            <w:r>
              <w:rPr>
                <w:rFonts w:ascii="Times New Roman" w:hAnsi="Times New Roman"/>
                <w:sz w:val="14"/>
                <w:szCs w:val="14"/>
                <w:lang w:val="uk-UA" w:eastAsia="ru-RU"/>
              </w:rPr>
              <w:t>як складової Єдиної інформаційної системи МВС</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rPr>
                <w:rFonts w:ascii="Times New Roman" w:hAnsi="Times New Roman"/>
                <w:sz w:val="14"/>
                <w:szCs w:val="14"/>
                <w:lang w:val="uk-UA"/>
              </w:rPr>
            </w:pPr>
            <w:r>
              <w:rPr>
                <w:rFonts w:ascii="Times New Roman" w:hAnsi="Times New Roman"/>
                <w:sz w:val="14"/>
                <w:szCs w:val="14"/>
                <w:lang w:val="uk-UA"/>
              </w:rPr>
              <w:t>ВКОЗ</w:t>
            </w:r>
          </w:p>
          <w:p>
            <w:pPr>
              <w:pStyle w:val="Normal"/>
              <w:widowControl w:val="false"/>
              <w:spacing w:lineRule="auto" w:line="240" w:before="0" w:after="0"/>
              <w:ind w:left="-99" w:right="-107" w:hanging="0"/>
              <w:rPr>
                <w:rFonts w:ascii="Times New Roman" w:hAnsi="Times New Roman"/>
                <w:sz w:val="14"/>
                <w:szCs w:val="14"/>
                <w:lang w:val="uk-UA"/>
              </w:rPr>
            </w:pPr>
            <w:r>
              <w:rPr>
                <w:rFonts w:ascii="Times New Roman" w:hAnsi="Times New Roman"/>
                <w:sz w:val="14"/>
                <w:szCs w:val="14"/>
                <w:lang w:val="uk-UA"/>
              </w:rPr>
              <w:t>ДІАП</w:t>
            </w:r>
          </w:p>
          <w:p>
            <w:pPr>
              <w:pStyle w:val="Normal"/>
              <w:widowControl w:val="false"/>
              <w:spacing w:lineRule="auto" w:line="240" w:before="0" w:after="0"/>
              <w:ind w:left="-99" w:right="-107" w:hanging="0"/>
              <w:rPr>
                <w:rFonts w:ascii="Times New Roman" w:hAnsi="Times New Roman"/>
                <w:sz w:val="14"/>
                <w:szCs w:val="14"/>
                <w:lang w:val="uk-UA"/>
              </w:rPr>
            </w:pPr>
            <w:r>
              <w:rPr>
                <w:rFonts w:ascii="Times New Roman" w:hAnsi="Times New Roman"/>
                <w:sz w:val="14"/>
                <w:szCs w:val="14"/>
                <w:lang w:val="uk-UA"/>
              </w:rPr>
              <w:t>ДКР</w:t>
            </w:r>
          </w:p>
          <w:p>
            <w:pPr>
              <w:pStyle w:val="Normal"/>
              <w:widowControl w:val="false"/>
              <w:spacing w:lineRule="auto" w:line="240" w:before="0" w:after="0"/>
              <w:ind w:left="-99" w:right="-107" w:hanging="0"/>
              <w:rPr>
                <w:rFonts w:ascii="Times New Roman" w:hAnsi="Times New Roman"/>
                <w:sz w:val="14"/>
                <w:szCs w:val="14"/>
                <w:lang w:val="uk-UA"/>
              </w:rPr>
            </w:pPr>
            <w:r>
              <w:rPr>
                <w:rFonts w:ascii="Times New Roman" w:hAnsi="Times New Roman"/>
                <w:sz w:val="14"/>
                <w:szCs w:val="14"/>
                <w:lang w:val="uk-UA"/>
              </w:rPr>
              <w:t>УЗК ТОП</w:t>
            </w:r>
          </w:p>
          <w:p>
            <w:pPr>
              <w:pStyle w:val="Normal"/>
              <w:widowControl w:val="false"/>
              <w:tabs>
                <w:tab w:val="clear" w:pos="708"/>
                <w:tab w:val="left" w:pos="0" w:leader="none"/>
              </w:tabs>
              <w:spacing w:lineRule="auto" w:line="240" w:before="0" w:after="0"/>
              <w:ind w:left="-129"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tabs>
                <w:tab w:val="clear" w:pos="708"/>
                <w:tab w:val="left" w:pos="-129" w:leader="none"/>
              </w:tabs>
              <w:spacing w:lineRule="auto" w:line="240" w:before="0" w:after="0"/>
              <w:ind w:left="-129" w:right="142"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142"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rPr>
                <w:rFonts w:ascii="Times New Roman" w:hAnsi="Times New Roman"/>
                <w:sz w:val="14"/>
                <w:szCs w:val="14"/>
                <w:lang w:val="uk-UA"/>
              </w:rPr>
            </w:pPr>
            <w:r>
              <w:rPr>
                <w:rFonts w:ascii="Times New Roman" w:hAnsi="Times New Roman"/>
                <w:sz w:val="14"/>
                <w:szCs w:val="14"/>
                <w:lang w:val="uk-UA"/>
              </w:rPr>
              <w:t>ВКОЗ</w:t>
            </w:r>
          </w:p>
          <w:p>
            <w:pPr>
              <w:pStyle w:val="Normal"/>
              <w:widowControl w:val="false"/>
              <w:spacing w:lineRule="auto" w:line="240" w:before="0" w:after="0"/>
              <w:ind w:left="-99" w:right="-107" w:hanging="0"/>
              <w:rPr>
                <w:rFonts w:ascii="Times New Roman" w:hAnsi="Times New Roman"/>
                <w:sz w:val="14"/>
                <w:szCs w:val="14"/>
                <w:lang w:val="uk-UA"/>
              </w:rPr>
            </w:pPr>
            <w:r>
              <w:rPr>
                <w:rFonts w:ascii="Times New Roman" w:hAnsi="Times New Roman"/>
                <w:sz w:val="14"/>
                <w:szCs w:val="14"/>
                <w:lang w:val="uk-UA"/>
              </w:rPr>
              <w:t>ДКР</w:t>
            </w:r>
          </w:p>
          <w:p>
            <w:pPr>
              <w:pStyle w:val="Normal"/>
              <w:widowControl w:val="false"/>
              <w:spacing w:lineRule="auto" w:line="240" w:before="0" w:after="0"/>
              <w:ind w:left="-99" w:right="-107" w:hanging="0"/>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ВКОЗ</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t>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pacing w:val="-8"/>
                <w:sz w:val="14"/>
                <w:szCs w:val="14"/>
                <w:shd w:fill="FFFFFF" w:val="clear"/>
                <w:lang w:val="uk-UA" w:eastAsia="ru-RU"/>
              </w:rPr>
              <w:t>«Єдиний реєстр зброї»</w:t>
            </w:r>
            <w:r>
              <w:rPr>
                <w:rFonts w:ascii="Times New Roman" w:hAnsi="Times New Roman"/>
                <w:sz w:val="14"/>
                <w:szCs w:val="14"/>
                <w:lang w:val="uk-UA" w:eastAsia="ru-RU"/>
              </w:rPr>
              <w:t xml:space="preserve"> створений</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Відповідне доручення (наказ) підготовлено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t>30.06.23</w:t>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t>30.06.23</w:t>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3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5" w:right="-13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Style w:val="Hyperlink"/>
                <w:rFonts w:ascii="Times New Roman" w:hAnsi="Times New Roman"/>
                <w:color w:val="auto"/>
                <w:sz w:val="14"/>
                <w:szCs w:val="14"/>
                <w:lang w:val="uk-UA"/>
              </w:rPr>
            </w:pPr>
            <w:r>
              <w:rPr>
                <w:rFonts w:ascii="Times New Roman" w:hAnsi="Times New Roman"/>
                <w:bCs/>
                <w:sz w:val="14"/>
                <w:szCs w:val="14"/>
                <w:lang w:val="uk-UA"/>
              </w:rPr>
              <w:t xml:space="preserve">Наказом МВС від 10.01.202 № 2, який зареєстровано в МЮУ України26.01.2022 </w:t>
            </w:r>
            <w:r>
              <w:rPr>
                <w:rFonts w:ascii="Times New Roman" w:hAnsi="Times New Roman"/>
                <w:sz w:val="14"/>
                <w:szCs w:val="14"/>
                <w:lang w:val="uk-UA"/>
              </w:rPr>
              <w:br/>
            </w:r>
            <w:r>
              <w:rPr>
                <w:rFonts w:ascii="Times New Roman" w:hAnsi="Times New Roman"/>
                <w:bCs/>
                <w:sz w:val="14"/>
                <w:szCs w:val="14"/>
                <w:lang w:val="uk-UA"/>
              </w:rPr>
              <w:t>за № 90/37426 – «Про затвердження Положення про функціональну підсистему «Єдиний реєстр зброї» єдиної інформаційної системи Міністерства внутрішніх справ» -розроблено відповідні положення.</w:t>
            </w:r>
          </w:p>
          <w:p>
            <w:pPr>
              <w:pStyle w:val="Normal"/>
              <w:widowControl w:val="false"/>
              <w:spacing w:lineRule="auto" w:line="240" w:before="0" w:after="0"/>
              <w:jc w:val="both"/>
              <w:rPr>
                <w:rFonts w:ascii="Times New Roman" w:hAnsi="Times New Roman"/>
                <w:sz w:val="14"/>
                <w:szCs w:val="14"/>
                <w:lang w:val="uk-UA" w:eastAsia="ru-RU"/>
              </w:rPr>
            </w:pPr>
            <w:r>
              <w:rPr>
                <w:rStyle w:val="Hyperlink"/>
                <w:rFonts w:ascii="Times New Roman" w:hAnsi="Times New Roman"/>
                <w:color w:val="auto"/>
                <w:sz w:val="14"/>
                <w:szCs w:val="14"/>
                <w:lang w:val="uk-UA"/>
              </w:rPr>
              <w:t>З 23.06.2023</w:t>
            </w:r>
            <w:r>
              <w:rPr>
                <w:rFonts w:ascii="Times New Roman" w:hAnsi="Times New Roman"/>
                <w:sz w:val="14"/>
                <w:szCs w:val="14"/>
                <w:lang w:val="uk-UA"/>
              </w:rPr>
              <w:t xml:space="preserve"> функціональна підсистема  </w:t>
            </w:r>
            <w:r>
              <w:rPr>
                <w:rFonts w:ascii="Times New Roman" w:hAnsi="Times New Roman"/>
                <w:spacing w:val="-8"/>
                <w:sz w:val="14"/>
                <w:szCs w:val="14"/>
                <w:shd w:fill="FFFFFF" w:val="clear"/>
                <w:lang w:val="uk-UA" w:eastAsia="ru-RU"/>
              </w:rPr>
              <w:t>«Єдиний реєстр зброї»</w:t>
            </w:r>
            <w:r>
              <w:rPr>
                <w:rFonts w:ascii="Times New Roman" w:hAnsi="Times New Roman"/>
                <w:sz w:val="14"/>
                <w:szCs w:val="14"/>
                <w:lang w:val="uk-UA" w:eastAsia="ru-RU"/>
              </w:rPr>
              <w:t xml:space="preserve"> єдиної інформаційної системи МВС - функціонує! (наказ МВС від 30.06.2023 № 539 «Про введення в експлуатацію </w:t>
            </w:r>
            <w:r>
              <w:rPr>
                <w:rFonts w:ascii="Times New Roman" w:hAnsi="Times New Roman"/>
                <w:sz w:val="14"/>
                <w:szCs w:val="14"/>
                <w:lang w:val="uk-UA"/>
              </w:rPr>
              <w:t xml:space="preserve">функціональної підсистеми  </w:t>
            </w:r>
            <w:r>
              <w:rPr>
                <w:rFonts w:ascii="Times New Roman" w:hAnsi="Times New Roman"/>
                <w:spacing w:val="-8"/>
                <w:sz w:val="14"/>
                <w:szCs w:val="14"/>
                <w:shd w:fill="FFFFFF" w:val="clear"/>
                <w:lang w:val="uk-UA" w:eastAsia="ru-RU"/>
              </w:rPr>
              <w:t>«Єдиний реєстр зброї»</w:t>
            </w:r>
            <w:r>
              <w:rPr>
                <w:rFonts w:ascii="Times New Roman" w:hAnsi="Times New Roman"/>
                <w:sz w:val="14"/>
                <w:szCs w:val="14"/>
                <w:lang w:val="uk-UA" w:eastAsia="ru-RU"/>
              </w:rPr>
              <w:t xml:space="preserve"> єдиної інформаційної системи МВС)</w:t>
            </w:r>
          </w:p>
          <w:p>
            <w:pPr>
              <w:pStyle w:val="Normal"/>
              <w:widowControl w:val="false"/>
              <w:spacing w:lineRule="auto" w:line="240" w:before="0" w:after="0"/>
              <w:jc w:val="both"/>
              <w:rPr>
                <w:rFonts w:ascii="Times New Roman" w:hAnsi="Times New Roman"/>
                <w:sz w:val="14"/>
                <w:szCs w:val="14"/>
                <w:lang w:val="uk-UA" w:eastAsia="ru-RU"/>
              </w:rPr>
            </w:pPr>
            <w:r>
              <w:rPr>
                <w:rFonts w:ascii="Times New Roman" w:hAnsi="Times New Roman"/>
                <w:sz w:val="14"/>
                <w:szCs w:val="14"/>
                <w:lang w:val="uk-UA"/>
              </w:rPr>
              <w:t xml:space="preserve"> </w:t>
            </w:r>
            <w:hyperlink r:id="rId6">
              <w:r>
                <w:rPr>
                  <w:rStyle w:val="Hyperlink"/>
                  <w:rFonts w:ascii="Times New Roman" w:hAnsi="Times New Roman"/>
                  <w:color w:val="auto"/>
                  <w:sz w:val="14"/>
                  <w:szCs w:val="14"/>
                  <w:lang w:eastAsia="ru-RU"/>
                </w:rPr>
                <w:t>https</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mvs</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gov</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ua</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news</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igor</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klimenko</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usia</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zbroia</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iaka</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na</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rukax</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v</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ukrayinciv</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bude</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v</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jedinomu</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rejestri</w:t>
              </w:r>
              <w:r>
                <w:rPr>
                  <w:rStyle w:val="Hyperlink"/>
                  <w:rFonts w:ascii="Times New Roman" w:hAnsi="Times New Roman"/>
                  <w:color w:val="auto"/>
                  <w:sz w:val="14"/>
                  <w:szCs w:val="14"/>
                  <w:lang w:val="uk-UA" w:eastAsia="ru-RU"/>
                </w:rPr>
                <w:t>-</w:t>
              </w:r>
              <w:r>
                <w:rPr>
                  <w:rStyle w:val="Hyperlink"/>
                  <w:rFonts w:ascii="Times New Roman" w:hAnsi="Times New Roman"/>
                  <w:color w:val="auto"/>
                  <w:sz w:val="14"/>
                  <w:szCs w:val="14"/>
                  <w:lang w:eastAsia="ru-RU"/>
                </w:rPr>
                <w:t>zbroyi</w:t>
              </w:r>
            </w:hyperlink>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u w:val="single"/>
                <w:lang w:val="uk-UA"/>
              </w:rPr>
            </w:pPr>
            <w:hyperlink r:id="rId7">
              <w:r>
                <w:rPr>
                  <w:rStyle w:val="Hyperlink"/>
                  <w:rFonts w:ascii="Times New Roman" w:hAnsi="Times New Roman"/>
                  <w:color w:val="auto"/>
                  <w:sz w:val="14"/>
                  <w:szCs w:val="14"/>
                </w:rPr>
                <w:t>https</w:t>
              </w:r>
              <w:r>
                <w:rPr>
                  <w:rStyle w:val="Hyperlink"/>
                  <w:rFonts w:ascii="Times New Roman" w:hAnsi="Times New Roman"/>
                  <w:color w:val="auto"/>
                  <w:sz w:val="14"/>
                  <w:szCs w:val="14"/>
                  <w:lang w:val="uk-UA"/>
                </w:rPr>
                <w:t>://</w:t>
              </w:r>
              <w:r>
                <w:rPr>
                  <w:rStyle w:val="Hyperlink"/>
                  <w:rFonts w:ascii="Times New Roman" w:hAnsi="Times New Roman"/>
                  <w:color w:val="auto"/>
                  <w:sz w:val="14"/>
                  <w:szCs w:val="14"/>
                </w:rPr>
                <w:t>www</w:t>
              </w:r>
              <w:r>
                <w:rPr>
                  <w:rStyle w:val="Hyperlink"/>
                  <w:rFonts w:ascii="Times New Roman" w:hAnsi="Times New Roman"/>
                  <w:color w:val="auto"/>
                  <w:sz w:val="14"/>
                  <w:szCs w:val="14"/>
                  <w:lang w:val="uk-UA"/>
                </w:rPr>
                <w:t>.</w:t>
              </w:r>
              <w:r>
                <w:rPr>
                  <w:rStyle w:val="Hyperlink"/>
                  <w:rFonts w:ascii="Times New Roman" w:hAnsi="Times New Roman"/>
                  <w:color w:val="auto"/>
                  <w:sz w:val="14"/>
                  <w:szCs w:val="14"/>
                </w:rPr>
                <w:t>ukrinform</w:t>
              </w:r>
              <w:r>
                <w:rPr>
                  <w:rStyle w:val="Hyperlink"/>
                  <w:rFonts w:ascii="Times New Roman" w:hAnsi="Times New Roman"/>
                  <w:color w:val="auto"/>
                  <w:sz w:val="14"/>
                  <w:szCs w:val="14"/>
                  <w:lang w:val="uk-UA"/>
                </w:rPr>
                <w:t>.</w:t>
              </w:r>
              <w:r>
                <w:rPr>
                  <w:rStyle w:val="Hyperlink"/>
                  <w:rFonts w:ascii="Times New Roman" w:hAnsi="Times New Roman"/>
                  <w:color w:val="auto"/>
                  <w:sz w:val="14"/>
                  <w:szCs w:val="14"/>
                </w:rPr>
                <w:t>ua</w:t>
              </w:r>
              <w:r>
                <w:rPr>
                  <w:rStyle w:val="Hyperlink"/>
                  <w:rFonts w:ascii="Times New Roman" w:hAnsi="Times New Roman"/>
                  <w:color w:val="auto"/>
                  <w:sz w:val="14"/>
                  <w:szCs w:val="14"/>
                  <w:lang w:val="uk-UA"/>
                </w:rPr>
                <w:t>/</w:t>
              </w:r>
              <w:r>
                <w:rPr>
                  <w:rStyle w:val="Hyperlink"/>
                  <w:rFonts w:ascii="Times New Roman" w:hAnsi="Times New Roman"/>
                  <w:color w:val="auto"/>
                  <w:sz w:val="14"/>
                  <w:szCs w:val="14"/>
                </w:rPr>
                <w:t>rubric</w:t>
              </w:r>
              <w:r>
                <w:rPr>
                  <w:rStyle w:val="Hyperlink"/>
                  <w:rFonts w:ascii="Times New Roman" w:hAnsi="Times New Roman"/>
                  <w:color w:val="auto"/>
                  <w:sz w:val="14"/>
                  <w:szCs w:val="14"/>
                  <w:lang w:val="uk-UA"/>
                </w:rPr>
                <w:t>-</w:t>
              </w:r>
              <w:r>
                <w:rPr>
                  <w:rStyle w:val="Hyperlink"/>
                  <w:rFonts w:ascii="Times New Roman" w:hAnsi="Times New Roman"/>
                  <w:color w:val="auto"/>
                  <w:sz w:val="14"/>
                  <w:szCs w:val="14"/>
                </w:rPr>
                <w:t>society</w:t>
              </w:r>
              <w:r>
                <w:rPr>
                  <w:rStyle w:val="Hyperlink"/>
                  <w:rFonts w:ascii="Times New Roman" w:hAnsi="Times New Roman"/>
                  <w:color w:val="auto"/>
                  <w:sz w:val="14"/>
                  <w:szCs w:val="14"/>
                  <w:lang w:val="uk-UA"/>
                </w:rPr>
                <w:t>/3726601-</w:t>
              </w:r>
              <w:r>
                <w:rPr>
                  <w:rStyle w:val="Hyperlink"/>
                  <w:rFonts w:ascii="Times New Roman" w:hAnsi="Times New Roman"/>
                  <w:color w:val="auto"/>
                  <w:sz w:val="14"/>
                  <w:szCs w:val="14"/>
                </w:rPr>
                <w:t>v</w:t>
              </w:r>
              <w:r>
                <w:rPr>
                  <w:rStyle w:val="Hyperlink"/>
                  <w:rFonts w:ascii="Times New Roman" w:hAnsi="Times New Roman"/>
                  <w:color w:val="auto"/>
                  <w:sz w:val="14"/>
                  <w:szCs w:val="14"/>
                  <w:lang w:val="uk-UA"/>
                </w:rPr>
                <w:t>-</w:t>
              </w:r>
              <w:r>
                <w:rPr>
                  <w:rStyle w:val="Hyperlink"/>
                  <w:rFonts w:ascii="Times New Roman" w:hAnsi="Times New Roman"/>
                  <w:color w:val="auto"/>
                  <w:sz w:val="14"/>
                  <w:szCs w:val="14"/>
                </w:rPr>
                <w:t>ukraini</w:t>
              </w:r>
              <w:r>
                <w:rPr>
                  <w:rStyle w:val="Hyperlink"/>
                  <w:rFonts w:ascii="Times New Roman" w:hAnsi="Times New Roman"/>
                  <w:color w:val="auto"/>
                  <w:sz w:val="14"/>
                  <w:szCs w:val="14"/>
                  <w:lang w:val="uk-UA"/>
                </w:rPr>
                <w:t>-</w:t>
              </w:r>
              <w:r>
                <w:rPr>
                  <w:rStyle w:val="Hyperlink"/>
                  <w:rFonts w:ascii="Times New Roman" w:hAnsi="Times New Roman"/>
                  <w:color w:val="auto"/>
                  <w:sz w:val="14"/>
                  <w:szCs w:val="14"/>
                </w:rPr>
                <w:t>zapracuvav</w:t>
              </w:r>
              <w:r>
                <w:rPr>
                  <w:rStyle w:val="Hyperlink"/>
                  <w:rFonts w:ascii="Times New Roman" w:hAnsi="Times New Roman"/>
                  <w:color w:val="auto"/>
                  <w:sz w:val="14"/>
                  <w:szCs w:val="14"/>
                  <w:lang w:val="uk-UA"/>
                </w:rPr>
                <w:t>-</w:t>
              </w:r>
              <w:r>
                <w:rPr>
                  <w:rStyle w:val="Hyperlink"/>
                  <w:rFonts w:ascii="Times New Roman" w:hAnsi="Times New Roman"/>
                  <w:color w:val="auto"/>
                  <w:sz w:val="14"/>
                  <w:szCs w:val="14"/>
                </w:rPr>
                <w:t>edinij</w:t>
              </w:r>
              <w:r>
                <w:rPr>
                  <w:rStyle w:val="Hyperlink"/>
                  <w:rFonts w:ascii="Times New Roman" w:hAnsi="Times New Roman"/>
                  <w:color w:val="auto"/>
                  <w:sz w:val="14"/>
                  <w:szCs w:val="14"/>
                  <w:lang w:val="uk-UA"/>
                </w:rPr>
                <w:t>-</w:t>
              </w:r>
              <w:r>
                <w:rPr>
                  <w:rStyle w:val="Hyperlink"/>
                  <w:rFonts w:ascii="Times New Roman" w:hAnsi="Times New Roman"/>
                  <w:color w:val="auto"/>
                  <w:sz w:val="14"/>
                  <w:szCs w:val="14"/>
                </w:rPr>
                <w:t>reestr</w:t>
              </w:r>
              <w:r>
                <w:rPr>
                  <w:rStyle w:val="Hyperlink"/>
                  <w:rFonts w:ascii="Times New Roman" w:hAnsi="Times New Roman"/>
                  <w:color w:val="auto"/>
                  <w:sz w:val="14"/>
                  <w:szCs w:val="14"/>
                  <w:lang w:val="uk-UA"/>
                </w:rPr>
                <w:t>-</w:t>
              </w:r>
              <w:r>
                <w:rPr>
                  <w:rStyle w:val="Hyperlink"/>
                  <w:rFonts w:ascii="Times New Roman" w:hAnsi="Times New Roman"/>
                  <w:color w:val="auto"/>
                  <w:sz w:val="14"/>
                  <w:szCs w:val="14"/>
                </w:rPr>
                <w:t>zbroi</w:t>
              </w:r>
              <w:r>
                <w:rPr>
                  <w:rStyle w:val="Hyperlink"/>
                  <w:rFonts w:ascii="Times New Roman" w:hAnsi="Times New Roman"/>
                  <w:color w:val="auto"/>
                  <w:sz w:val="14"/>
                  <w:szCs w:val="14"/>
                  <w:lang w:val="uk-UA"/>
                </w:rPr>
                <w:t>.</w:t>
              </w:r>
              <w:r>
                <w:rPr>
                  <w:rStyle w:val="Hyperlink"/>
                  <w:rFonts w:ascii="Times New Roman" w:hAnsi="Times New Roman"/>
                  <w:color w:val="auto"/>
                  <w:sz w:val="14"/>
                  <w:szCs w:val="14"/>
                </w:rPr>
                <w:t>html</w:t>
              </w:r>
            </w:hyperlink>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З початку функціонування </w:t>
            </w:r>
            <w:r>
              <w:rPr>
                <w:rFonts w:ascii="Times New Roman" w:hAnsi="Times New Roman"/>
                <w:spacing w:val="-8"/>
                <w:sz w:val="14"/>
                <w:szCs w:val="14"/>
                <w:shd w:fill="FFFFFF" w:val="clear"/>
                <w:lang w:val="uk-UA" w:eastAsia="ru-RU"/>
              </w:rPr>
              <w:t>«Єдиного реєстру зброї»</w:t>
            </w:r>
            <w:r>
              <w:rPr>
                <w:rFonts w:ascii="Times New Roman" w:hAnsi="Times New Roman"/>
                <w:sz w:val="14"/>
                <w:szCs w:val="14"/>
                <w:lang w:val="uk-UA" w:eastAsia="ru-RU"/>
              </w:rPr>
              <w:t xml:space="preserve"> </w:t>
            </w:r>
            <w:r>
              <w:rPr>
                <w:rFonts w:ascii="Times New Roman" w:hAnsi="Times New Roman"/>
                <w:sz w:val="14"/>
                <w:szCs w:val="14"/>
                <w:lang w:val="uk-UA"/>
              </w:rPr>
              <w:t>у НПУ здійснено наступні заходи:</w:t>
            </w:r>
          </w:p>
          <w:p>
            <w:pPr>
              <w:pStyle w:val="ListParagraph"/>
              <w:widowControl w:val="false"/>
              <w:numPr>
                <w:ilvl w:val="0"/>
                <w:numId w:val="1"/>
              </w:numPr>
              <w:spacing w:lineRule="auto" w:line="240" w:before="0" w:after="0"/>
              <w:ind w:left="0" w:hanging="297"/>
              <w:contextualSpacing/>
              <w:jc w:val="both"/>
              <w:rPr>
                <w:rFonts w:ascii="Times New Roman" w:hAnsi="Times New Roman"/>
                <w:sz w:val="14"/>
                <w:szCs w:val="14"/>
                <w:lang w:val="uk-UA"/>
              </w:rPr>
            </w:pPr>
            <w:r>
              <w:rPr>
                <w:rFonts w:ascii="Times New Roman" w:hAnsi="Times New Roman"/>
                <w:sz w:val="14"/>
                <w:szCs w:val="14"/>
                <w:lang w:val="uk-UA"/>
              </w:rPr>
              <w:t>- автоматична перевірка особи, яка отримує послуги у сфері обігу вогнепальної зброї, на наявність/відсутність стосовно такої особи відомостей про притягнення до адміністративної відповідальності, з боку НПУ побудовано прикладний програмний інтерфейс (АРІ) між системою ІПНП та ЄРЗ (АРІ протестований та готовий для використання);</w:t>
            </w:r>
          </w:p>
          <w:p>
            <w:pPr>
              <w:pStyle w:val="ListParagraph"/>
              <w:widowControl w:val="false"/>
              <w:numPr>
                <w:ilvl w:val="0"/>
                <w:numId w:val="1"/>
              </w:numPr>
              <w:spacing w:lineRule="auto" w:line="240" w:before="0" w:after="0"/>
              <w:ind w:left="0" w:hanging="360"/>
              <w:contextualSpacing/>
              <w:jc w:val="both"/>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 автоматична перевірка зброї, під час реєстрації/перереєстрації на наявність/відсутність відомостей щодо її викрадення, втрати, вилучення, знайдення, добровільної здачі, з боку НПУ побудовано прикладний програмний інтерфейс (АРІ) між системою ІПНП та ЄРЗ (АРІ протестований та готовий для використання).</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44" w:hanging="96"/>
              <w:jc w:val="both"/>
              <w:rPr>
                <w:rFonts w:ascii="Times New Roman" w:hAnsi="Times New Roman" w:eastAsia="Cambria Math"/>
                <w:kern w:val="2"/>
                <w:sz w:val="14"/>
                <w:szCs w:val="14"/>
                <w:lang w:val="uk-UA" w:eastAsia="ru-RU"/>
              </w:rPr>
            </w:pPr>
            <w:r>
              <w:rPr>
                <w:rFonts w:ascii="Times New Roman" w:hAnsi="Times New Roman"/>
                <w:sz w:val="14"/>
                <w:szCs w:val="14"/>
                <w:lang w:val="uk-UA" w:eastAsia="ru-RU"/>
              </w:rPr>
              <w:t xml:space="preserve">   </w:t>
            </w:r>
            <w:r>
              <w:rPr>
                <w:rFonts w:ascii="Times New Roman" w:hAnsi="Times New Roman"/>
                <w:sz w:val="14"/>
                <w:szCs w:val="14"/>
                <w:lang w:val="uk-UA" w:eastAsia="ru-RU"/>
              </w:rPr>
              <w:t>З метою, у т.ч. додаткового забезпечення контролю за дотриманням порядку придбання, обліку зберігання                                       та використання</w:t>
            </w:r>
            <w:r>
              <w:rPr>
                <w:rFonts w:ascii="Times New Roman" w:hAnsi="Times New Roman"/>
                <w:sz w:val="14"/>
                <w:szCs w:val="14"/>
                <w:shd w:fill="FFFFFF" w:val="clear"/>
                <w:lang w:val="uk-UA" w:eastAsia="ru-RU"/>
              </w:rPr>
              <w:t xml:space="preserve"> зброї</w:t>
            </w:r>
            <w:r>
              <w:rPr>
                <w:rFonts w:ascii="Times New Roman" w:hAnsi="Times New Roman"/>
                <w:b/>
                <w:bCs/>
                <w:sz w:val="14"/>
                <w:szCs w:val="14"/>
                <w:lang w:val="uk-UA" w:eastAsia="ru-RU"/>
              </w:rPr>
              <w:t xml:space="preserve"> </w:t>
            </w:r>
            <w:r>
              <w:rPr>
                <w:rFonts w:ascii="Times New Roman" w:hAnsi="Times New Roman"/>
                <w:sz w:val="14"/>
                <w:szCs w:val="14"/>
                <w:shd w:fill="FFFFFF" w:val="clear"/>
                <w:lang w:val="uk-UA" w:eastAsia="ru-RU"/>
              </w:rPr>
              <w:t xml:space="preserve"> та боєприпасів,                        с визначенням відповідальних посадових осіб поліції, недопущення</w:t>
            </w:r>
            <w:r>
              <w:rPr>
                <w:rFonts w:ascii="Times New Roman" w:hAnsi="Times New Roman"/>
                <w:sz w:val="14"/>
                <w:szCs w:val="14"/>
                <w:shd w:fill="FFFFFF" w:val="clear"/>
                <w:lang w:val="uk-UA"/>
              </w:rPr>
              <w:t xml:space="preserve"> надання (продовження) відповідних дозволів особам, які мають  судимості за злочин, яка не погашена або незнята в установленому порядку, наказом МВС</w:t>
            </w:r>
            <w:r>
              <w:rPr>
                <w:shd w:fill="FFFFFF" w:val="clear"/>
                <w:lang w:val="uk-UA"/>
              </w:rPr>
              <w:t xml:space="preserve"> </w:t>
            </w:r>
            <w:r>
              <w:rPr>
                <w:rFonts w:ascii="Times New Roman" w:hAnsi="Times New Roman"/>
                <w:sz w:val="14"/>
                <w:szCs w:val="14"/>
                <w:shd w:fill="FFFFFF" w:val="clear"/>
                <w:lang w:val="uk-UA"/>
              </w:rPr>
              <w:t xml:space="preserve">від 19.09.2022 № 590,  внесено зміни до профільної Інструкції, затвердженої наказом МВС від 21.08.1998 № 622, яким запроваджується функціонування </w:t>
            </w:r>
            <w:r>
              <w:rPr>
                <w:rFonts w:ascii="Times New Roman" w:hAnsi="Times New Roman"/>
                <w:spacing w:val="-8"/>
                <w:sz w:val="14"/>
                <w:szCs w:val="14"/>
                <w:shd w:fill="FFFFFF" w:val="clear"/>
                <w:lang w:val="uk-UA" w:eastAsia="ru-RU"/>
              </w:rPr>
              <w:t>Єдиного реєстру зброї, як єдиної форми надання послуг у сфері обігу зброї.</w:t>
            </w:r>
            <w:r>
              <w:rPr>
                <w:rFonts w:eastAsia="Cambria Math"/>
                <w:kern w:val="2"/>
                <w:lang w:val="uk-UA" w:eastAsia="ru-RU"/>
              </w:rPr>
              <w:t xml:space="preserve"> </w:t>
            </w:r>
          </w:p>
          <w:p>
            <w:pPr>
              <w:pStyle w:val="Normal"/>
              <w:widowControl w:val="false"/>
              <w:spacing w:lineRule="auto" w:line="240" w:before="0" w:after="0"/>
              <w:ind w:left="34" w:hanging="96"/>
              <w:jc w:val="both"/>
              <w:rPr>
                <w:rStyle w:val="Hyperlink"/>
                <w:rFonts w:ascii="Times New Roman" w:hAnsi="Times New Roman" w:eastAsia="Cambria Math"/>
                <w:color w:val="auto"/>
                <w:kern w:val="2"/>
                <w:sz w:val="14"/>
                <w:szCs w:val="14"/>
                <w:lang w:val="uk-UA" w:eastAsia="ru-RU"/>
              </w:rPr>
            </w:pPr>
            <w:hyperlink r:id="rId8">
              <w:r>
                <w:rPr>
                  <w:rStyle w:val="Hyperlink"/>
                  <w:rFonts w:eastAsia="Cambria Math" w:ascii="Times New Roman" w:hAnsi="Times New Roman"/>
                  <w:color w:val="auto"/>
                  <w:kern w:val="2"/>
                  <w:sz w:val="14"/>
                  <w:szCs w:val="14"/>
                  <w:lang w:val="uk-UA" w:eastAsia="ru-RU"/>
                </w:rPr>
                <w:t>https://mvs.gov.ua/news/leonid-timcenko-v-jedinomu-rejestri-zbroyi-usi-elektronni-dokumenti-proxodiat-verifikaciiu</w:t>
              </w:r>
            </w:hyperlink>
          </w:p>
          <w:p>
            <w:pPr>
              <w:pStyle w:val="Normal"/>
              <w:widowControl w:val="false"/>
              <w:spacing w:lineRule="auto" w:line="240" w:before="0" w:after="0"/>
              <w:ind w:left="34" w:hanging="96"/>
              <w:jc w:val="both"/>
              <w:rPr>
                <w:rStyle w:val="Hyperlink"/>
                <w:rFonts w:ascii="Times New Roman" w:hAnsi="Times New Roman" w:eastAsia="Cambria Math"/>
                <w:color w:val="auto"/>
                <w:kern w:val="2"/>
                <w:sz w:val="14"/>
                <w:szCs w:val="14"/>
                <w:u w:val="none"/>
                <w:lang w:val="uk-UA" w:eastAsia="ru-RU"/>
              </w:rPr>
            </w:pPr>
            <w:r>
              <w:rPr>
                <w:rStyle w:val="Hyperlink"/>
                <w:rFonts w:eastAsia="Cambria Math" w:ascii="Times New Roman" w:hAnsi="Times New Roman"/>
                <w:color w:val="auto"/>
                <w:kern w:val="2"/>
                <w:sz w:val="14"/>
                <w:szCs w:val="14"/>
                <w:u w:val="none"/>
                <w:lang w:val="uk-UA" w:eastAsia="ru-RU"/>
              </w:rPr>
              <w:t xml:space="preserve"> </w:t>
            </w:r>
            <w:r>
              <w:rPr>
                <w:rStyle w:val="Hyperlink"/>
                <w:rFonts w:eastAsia="Cambria Math" w:ascii="Times New Roman" w:hAnsi="Times New Roman"/>
                <w:color w:val="auto"/>
                <w:kern w:val="2"/>
                <w:sz w:val="14"/>
                <w:szCs w:val="14"/>
                <w:u w:val="none"/>
                <w:lang w:val="uk-UA" w:eastAsia="ru-RU"/>
              </w:rPr>
              <w:t>Відповідне доручення Голови НПУ розроблено та доведено до підрозділів поліції (від 12.10.2023 №10418/01/57-2023 «Про здійснення контролю за дотриманням правил зберігання і використання зброї»</w:t>
            </w:r>
          </w:p>
          <w:p>
            <w:pPr>
              <w:pStyle w:val="Normal"/>
              <w:widowControl w:val="false"/>
              <w:spacing w:lineRule="auto" w:line="240" w:before="0" w:after="0"/>
              <w:ind w:left="34" w:hanging="96"/>
              <w:jc w:val="both"/>
              <w:rPr>
                <w:rStyle w:val="Hyperlink"/>
                <w:rFonts w:ascii="Times New Roman" w:hAnsi="Times New Roman" w:eastAsia="Cambria Math"/>
                <w:color w:val="auto"/>
                <w:kern w:val="2"/>
                <w:sz w:val="14"/>
                <w:szCs w:val="14"/>
                <w:u w:val="none"/>
                <w:lang w:val="uk-UA" w:eastAsia="ru-RU"/>
              </w:rPr>
            </w:pPr>
            <w:r>
              <w:rPr>
                <w:rFonts w:eastAsia="Cambria Math" w:ascii="Times New Roman" w:hAnsi="Times New Roman"/>
                <w:color w:val="auto"/>
                <w:kern w:val="2"/>
                <w:sz w:val="14"/>
                <w:szCs w:val="14"/>
                <w:u w:val="none"/>
                <w:lang w:val="uk-UA" w:eastAsia="ru-RU"/>
              </w:rPr>
            </w:r>
          </w:p>
          <w:p>
            <w:pPr>
              <w:pStyle w:val="Normal"/>
              <w:widowControl w:val="false"/>
              <w:spacing w:lineRule="auto" w:line="240" w:before="0" w:after="0"/>
              <w:jc w:val="both"/>
              <w:rPr>
                <w:rFonts w:ascii="Times New Roman" w:hAnsi="Times New Roman" w:eastAsia="Cambria Math"/>
                <w:kern w:val="2"/>
                <w:sz w:val="14"/>
                <w:szCs w:val="14"/>
                <w:u w:val="single"/>
                <w:lang w:val="uk-UA" w:eastAsia="ru-RU"/>
              </w:rPr>
            </w:pPr>
            <w:r>
              <w:rPr>
                <w:rFonts w:eastAsia="Cambria Math" w:ascii="Times New Roman" w:hAnsi="Times New Roman"/>
                <w:kern w:val="2"/>
                <w:sz w:val="14"/>
                <w:szCs w:val="14"/>
                <w:u w:val="single"/>
                <w:lang w:val="uk-UA" w:eastAsia="ru-RU"/>
              </w:rPr>
            </w:r>
          </w:p>
          <w:p>
            <w:pPr>
              <w:pStyle w:val="Normal"/>
              <w:widowControl w:val="false"/>
              <w:spacing w:lineRule="auto" w:line="240" w:before="0" w:after="0"/>
              <w:jc w:val="both"/>
              <w:rPr>
                <w:rFonts w:ascii="Times New Roman" w:hAnsi="Times New Roman" w:eastAsia="Cambria Math"/>
                <w:kern w:val="2"/>
                <w:sz w:val="14"/>
                <w:szCs w:val="14"/>
                <w:u w:val="single"/>
                <w:lang w:val="uk-UA" w:eastAsia="ru-RU"/>
              </w:rPr>
            </w:pPr>
            <w:r>
              <w:rPr>
                <w:rFonts w:eastAsia="Cambria Math" w:ascii="Times New Roman" w:hAnsi="Times New Roman"/>
                <w:kern w:val="2"/>
                <w:sz w:val="14"/>
                <w:szCs w:val="14"/>
                <w:u w:val="single"/>
                <w:lang w:val="uk-UA" w:eastAsia="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 Протягом 3 кварталу проведено близько 40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т.ч., Європейського суду з прав людини.</w:t>
            </w:r>
          </w:p>
          <w:p>
            <w:pPr>
              <w:pStyle w:val="Normal"/>
              <w:widowControl w:val="false"/>
              <w:spacing w:lineRule="auto" w:line="240" w:before="0" w:after="0"/>
              <w:ind w:left="4" w:hanging="0"/>
              <w:jc w:val="both"/>
              <w:rPr>
                <w:rFonts w:ascii="Times New Roman" w:hAnsi="Times New Roman"/>
                <w:spacing w:val="-8"/>
                <w:sz w:val="14"/>
                <w:szCs w:val="14"/>
                <w:shd w:fill="FFFFFF" w:val="clear"/>
                <w:lang w:val="uk-UA" w:eastAsia="ru-RU"/>
              </w:rPr>
            </w:pPr>
            <w:r>
              <w:rPr>
                <w:rStyle w:val="Hyperlink"/>
                <w:rFonts w:eastAsia="Cambria Math" w:ascii="Times New Roman" w:hAnsi="Times New Roman"/>
                <w:color w:val="auto"/>
                <w:kern w:val="2"/>
                <w:sz w:val="14"/>
                <w:szCs w:val="14"/>
                <w:u w:val="none"/>
                <w:lang w:val="uk-UA" w:eastAsia="ru-RU"/>
              </w:rPr>
              <w:t xml:space="preserve">Згідно п.3 доручення Голови НПУ від 12.10.2023 №10418/01/57-2023 «Про здійснення контролю за дотриманням правил зберігання і використання зброї»                    в територіальних органах поліції у 1 кварталі 2024 року проведені </w:t>
            </w:r>
            <w:r>
              <w:rPr>
                <w:rFonts w:ascii="Times New Roman" w:hAnsi="Times New Roman"/>
                <w:spacing w:val="-8"/>
                <w:sz w:val="14"/>
                <w:szCs w:val="14"/>
                <w:shd w:fill="FFFFFF" w:val="clear"/>
                <w:lang w:val="uk-UA" w:eastAsia="ru-RU"/>
              </w:rPr>
              <w:t>додаткові навчання працівників поліції зі знання антикорупційного законодавства, з врахуванням внесення до нього змін, з попередженням працівників поліції про відповідальність, яка настає за порушення антикорупційного законодавства.</w:t>
            </w:r>
          </w:p>
          <w:p>
            <w:pPr>
              <w:pStyle w:val="Normal"/>
              <w:widowControl w:val="false"/>
              <w:spacing w:lineRule="auto" w:line="240" w:before="0" w:after="0"/>
              <w:ind w:left="4"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22</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7" w:hanging="0"/>
              <w:rPr>
                <w:rFonts w:ascii="Times New Roman" w:hAnsi="Times New Roman"/>
                <w:sz w:val="14"/>
                <w:szCs w:val="14"/>
                <w:lang w:val="uk-UA"/>
              </w:rPr>
            </w:pPr>
            <w:r>
              <w:rPr>
                <w:rFonts w:ascii="Times New Roman" w:hAnsi="Times New Roman"/>
                <w:sz w:val="14"/>
                <w:szCs w:val="14"/>
                <w:lang w:val="uk-UA"/>
              </w:rPr>
              <w:t>VII.</w:t>
            </w:r>
            <w:r>
              <w:rPr>
                <w:rFonts w:ascii="Times New Roman" w:hAnsi="Times New Roman"/>
                <w:sz w:val="14"/>
                <w:szCs w:val="14"/>
                <w:lang w:val="ru-RU"/>
              </w:rPr>
              <w:t xml:space="preserve"> </w:t>
            </w:r>
            <w:r>
              <w:rPr>
                <w:rFonts w:ascii="Times New Roman" w:hAnsi="Times New Roman"/>
                <w:sz w:val="14"/>
                <w:szCs w:val="14"/>
                <w:lang w:val="uk-UA"/>
              </w:rPr>
              <w:t>Надання адміністративних послуг Національною поліцією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проведення, процедури первинного оформлення або продовження дії  документів дозвільного характеру на придбання, зберігання, носіння, перевезення вогнепальної зброї та боєприпасів в умовах конфлікту інтересів</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Можливість здійснення посадовою особою поліції дій під час організації оформлення або продовження дії  документів дозвільного характеру або при організації (виконанні) відповідних заходів контролю  в умовах конфлікту інтересів (близьким особам, керівнику тощо)</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рівень відомчого контролю  за процесом оформлення  відповідних документів дозвільного характеру</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працівника поліції під час надання таких послуг</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 Перевірки за додержанням процедури оформлення відповідних дозволів та дотримання строків їх видачі</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 Навчання із доведенням типових ситуацій порушення антикорупційного законодавства, запобігання (врегулювання) конфлікту інтересів</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 w:right="48" w:hanging="0"/>
              <w:jc w:val="both"/>
              <w:rPr>
                <w:rFonts w:ascii="Times New Roman" w:hAnsi="Times New Roman"/>
                <w:sz w:val="14"/>
                <w:szCs w:val="14"/>
                <w:lang w:val="uk-UA"/>
              </w:rPr>
            </w:pPr>
            <w:r>
              <w:rPr>
                <w:rFonts w:ascii="Times New Roman" w:hAnsi="Times New Roman"/>
                <w:sz w:val="14"/>
                <w:szCs w:val="14"/>
                <w:lang w:val="uk-UA"/>
              </w:rPr>
              <w:t xml:space="preserve">1.Створення електронної бази даних у дозвільній системі поліції, із завантаженням до неї всіх сканованих копій документів, що є підставою для первинного оформлення або продовження відповідних дозволів на </w:t>
            </w:r>
            <w:r>
              <w:rPr>
                <w:rFonts w:ascii="Times New Roman" w:hAnsi="Times New Roman"/>
                <w:sz w:val="14"/>
                <w:szCs w:val="14"/>
                <w:lang w:val="uk-UA" w:eastAsia="ru-RU"/>
              </w:rPr>
              <w:t xml:space="preserve">придбання, зберігання, </w:t>
            </w:r>
            <w:r>
              <w:rPr>
                <w:rFonts w:ascii="Times New Roman" w:hAnsi="Times New Roman"/>
                <w:spacing w:val="-8"/>
                <w:sz w:val="14"/>
                <w:szCs w:val="14"/>
                <w:shd w:fill="FFFFFF" w:val="clear"/>
                <w:lang w:val="uk-UA" w:eastAsia="ru-RU"/>
              </w:rPr>
              <w:t>користування,</w:t>
            </w:r>
            <w:r>
              <w:rPr>
                <w:rFonts w:ascii="Times New Roman" w:hAnsi="Times New Roman"/>
                <w:sz w:val="14"/>
                <w:szCs w:val="14"/>
                <w:shd w:fill="FFFFFF" w:val="clear"/>
                <w:lang w:val="uk-UA" w:eastAsia="ru-RU"/>
              </w:rPr>
              <w:t xml:space="preserve"> зброї</w:t>
            </w:r>
            <w:r>
              <w:rPr>
                <w:rFonts w:ascii="Times New Roman" w:hAnsi="Times New Roman"/>
                <w:b/>
                <w:bCs/>
                <w:sz w:val="14"/>
                <w:szCs w:val="14"/>
                <w:lang w:val="uk-UA" w:eastAsia="ru-RU"/>
              </w:rPr>
              <w:t xml:space="preserve"> </w:t>
            </w:r>
            <w:r>
              <w:rPr>
                <w:rFonts w:ascii="Times New Roman" w:hAnsi="Times New Roman"/>
                <w:sz w:val="14"/>
                <w:szCs w:val="14"/>
                <w:shd w:fill="FFFFFF" w:val="clear"/>
                <w:lang w:val="uk-UA" w:eastAsia="ru-RU"/>
              </w:rPr>
              <w:t xml:space="preserve"> та боєприпасів, а також інформації про </w:t>
            </w:r>
            <w:r>
              <w:rPr>
                <w:rFonts w:ascii="Times New Roman" w:hAnsi="Times New Roman"/>
                <w:sz w:val="14"/>
                <w:szCs w:val="14"/>
                <w:lang w:val="uk-UA"/>
              </w:rPr>
              <w:t>посадових осіб поліції які брали участь у наданні відповідних дозволів.</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2.Проведення щомісячних звірок керівництвом  або спеціально визначеними працівниками поліції порядку проведення відповідного оформлення дозволів з метою запобігання та врегулювання  можливого конфлікту інтересів</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3.Розробка методичних матеріалів з питань запобігання та врегулювання конфлікту інтересів (пам’ятки, плакати, інфографіки, алгоритми тощо)</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 Додаткове ознайомлення працівників поліції під особистий підпис про відповідальність за неповідомлення про конфлікт інтересів</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31.12.23</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Місяць</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ВКОЗ</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ВКОЗ</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 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ВКОЗ</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t>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8"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t>Електронна база даних створена</w:t>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t>Щомісячні звірки проведено</w:t>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t>Розроблено методичні матеріали</w:t>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2"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2" w:hanging="0"/>
              <w:jc w:val="center"/>
              <w:rPr>
                <w:rFonts w:ascii="Times New Roman" w:hAnsi="Times New Roman"/>
                <w:sz w:val="14"/>
                <w:szCs w:val="14"/>
                <w:lang w:val="uk-UA"/>
              </w:rPr>
            </w:pPr>
            <w:r>
              <w:rPr>
                <w:rFonts w:ascii="Times New Roman" w:hAnsi="Times New Roman"/>
                <w:sz w:val="14"/>
                <w:szCs w:val="14"/>
                <w:lang w:val="uk-UA"/>
              </w:rPr>
              <w:t>Працівників поліції додатково ознайомлено  про відповідальність за неповідомлення про</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t>30.06.23</w:t>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t>19.10.22</w:t>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4" w:right="-126"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Style w:val="Hyperlink"/>
                <w:rFonts w:ascii="Times New Roman" w:hAnsi="Times New Roman"/>
                <w:color w:val="auto"/>
                <w:sz w:val="14"/>
                <w:szCs w:val="14"/>
                <w:u w:val="none"/>
                <w:lang w:val="uk-UA"/>
              </w:rPr>
              <w:t>Із</w:t>
            </w:r>
            <w:r>
              <w:rPr>
                <w:rFonts w:ascii="Times New Roman" w:hAnsi="Times New Roman"/>
                <w:sz w:val="14"/>
                <w:szCs w:val="14"/>
                <w:lang w:val="uk-UA"/>
              </w:rPr>
              <w:t xml:space="preserve"> початком введення функціональної підсистема  </w:t>
            </w:r>
            <w:r>
              <w:rPr>
                <w:rFonts w:ascii="Times New Roman" w:hAnsi="Times New Roman"/>
                <w:spacing w:val="-8"/>
                <w:sz w:val="14"/>
                <w:szCs w:val="14"/>
                <w:shd w:fill="FFFFFF" w:val="clear"/>
                <w:lang w:val="uk-UA" w:eastAsia="ru-RU"/>
              </w:rPr>
              <w:t>«Єдиний реєстр зброї»</w:t>
            </w:r>
            <w:r>
              <w:rPr>
                <w:rFonts w:ascii="Times New Roman" w:hAnsi="Times New Roman"/>
                <w:sz w:val="14"/>
                <w:szCs w:val="14"/>
                <w:lang w:val="uk-UA" w:eastAsia="ru-RU"/>
              </w:rPr>
              <w:t xml:space="preserve">  - </w:t>
            </w:r>
            <w:r>
              <w:rPr>
                <w:rFonts w:ascii="Times New Roman" w:hAnsi="Times New Roman"/>
                <w:sz w:val="14"/>
                <w:szCs w:val="14"/>
                <w:lang w:val="uk-UA"/>
              </w:rPr>
              <w:t>електрона база даних у дозвільній системі поліції створена.</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rPr>
              <w:t>https</w:t>
            </w:r>
            <w:r>
              <w:rPr>
                <w:rFonts w:ascii="Times New Roman" w:hAnsi="Times New Roman"/>
                <w:sz w:val="14"/>
                <w:szCs w:val="14"/>
                <w:lang w:val="uk-UA"/>
              </w:rPr>
              <w:t>://</w:t>
            </w:r>
            <w:r>
              <w:rPr>
                <w:rFonts w:ascii="Times New Roman" w:hAnsi="Times New Roman"/>
                <w:sz w:val="14"/>
                <w:szCs w:val="14"/>
              </w:rPr>
              <w:t>mvs</w:t>
            </w:r>
            <w:r>
              <w:rPr>
                <w:rFonts w:ascii="Times New Roman" w:hAnsi="Times New Roman"/>
                <w:sz w:val="14"/>
                <w:szCs w:val="14"/>
                <w:lang w:val="uk-UA"/>
              </w:rPr>
              <w:t>.</w:t>
            </w:r>
            <w:r>
              <w:rPr>
                <w:rFonts w:ascii="Times New Roman" w:hAnsi="Times New Roman"/>
                <w:sz w:val="14"/>
                <w:szCs w:val="14"/>
              </w:rPr>
              <w:t>gov</w:t>
            </w:r>
            <w:r>
              <w:rPr>
                <w:rFonts w:ascii="Times New Roman" w:hAnsi="Times New Roman"/>
                <w:sz w:val="14"/>
                <w:szCs w:val="14"/>
                <w:lang w:val="uk-UA"/>
              </w:rPr>
              <w:t>.</w:t>
            </w:r>
            <w:r>
              <w:rPr>
                <w:rFonts w:ascii="Times New Roman" w:hAnsi="Times New Roman"/>
                <w:sz w:val="14"/>
                <w:szCs w:val="14"/>
              </w:rPr>
              <w:t>ua</w:t>
            </w:r>
            <w:r>
              <w:rPr>
                <w:rFonts w:ascii="Times New Roman" w:hAnsi="Times New Roman"/>
                <w:sz w:val="14"/>
                <w:szCs w:val="14"/>
                <w:lang w:val="uk-UA"/>
              </w:rPr>
              <w:t>/</w:t>
            </w:r>
            <w:r>
              <w:rPr>
                <w:rFonts w:ascii="Times New Roman" w:hAnsi="Times New Roman"/>
                <w:sz w:val="14"/>
                <w:szCs w:val="14"/>
              </w:rPr>
              <w:t>news</w:t>
            </w:r>
            <w:r>
              <w:rPr>
                <w:rFonts w:ascii="Times New Roman" w:hAnsi="Times New Roman"/>
                <w:sz w:val="14"/>
                <w:szCs w:val="14"/>
                <w:lang w:val="uk-UA"/>
              </w:rPr>
              <w:t>/</w:t>
            </w:r>
            <w:r>
              <w:rPr>
                <w:rFonts w:ascii="Times New Roman" w:hAnsi="Times New Roman"/>
                <w:sz w:val="14"/>
                <w:szCs w:val="14"/>
              </w:rPr>
              <w:t>leonid</w:t>
            </w:r>
            <w:r>
              <w:rPr>
                <w:rFonts w:ascii="Times New Roman" w:hAnsi="Times New Roman"/>
                <w:sz w:val="14"/>
                <w:szCs w:val="14"/>
                <w:lang w:val="uk-UA"/>
              </w:rPr>
              <w:t>-</w:t>
            </w:r>
            <w:r>
              <w:rPr>
                <w:rFonts w:ascii="Times New Roman" w:hAnsi="Times New Roman"/>
                <w:sz w:val="14"/>
                <w:szCs w:val="14"/>
              </w:rPr>
              <w:t>timcenko</w:t>
            </w:r>
            <w:r>
              <w:rPr>
                <w:rFonts w:ascii="Times New Roman" w:hAnsi="Times New Roman"/>
                <w:sz w:val="14"/>
                <w:szCs w:val="14"/>
                <w:lang w:val="uk-UA"/>
              </w:rPr>
              <w:t>-</w:t>
            </w:r>
            <w:r>
              <w:rPr>
                <w:rFonts w:ascii="Times New Roman" w:hAnsi="Times New Roman"/>
                <w:sz w:val="14"/>
                <w:szCs w:val="14"/>
              </w:rPr>
              <w:t>jedinii</w:t>
            </w:r>
            <w:r>
              <w:rPr>
                <w:rFonts w:ascii="Times New Roman" w:hAnsi="Times New Roman"/>
                <w:sz w:val="14"/>
                <w:szCs w:val="14"/>
                <w:lang w:val="uk-UA"/>
              </w:rPr>
              <w:t>-</w:t>
            </w:r>
            <w:r>
              <w:rPr>
                <w:rFonts w:ascii="Times New Roman" w:hAnsi="Times New Roman"/>
                <w:sz w:val="14"/>
                <w:szCs w:val="14"/>
              </w:rPr>
              <w:t>rejestr</w:t>
            </w:r>
            <w:r>
              <w:rPr>
                <w:rFonts w:ascii="Times New Roman" w:hAnsi="Times New Roman"/>
                <w:sz w:val="14"/>
                <w:szCs w:val="14"/>
                <w:lang w:val="uk-UA"/>
              </w:rPr>
              <w:t>-</w:t>
            </w:r>
            <w:r>
              <w:rPr>
                <w:rFonts w:ascii="Times New Roman" w:hAnsi="Times New Roman"/>
                <w:sz w:val="14"/>
                <w:szCs w:val="14"/>
              </w:rPr>
              <w:t>zbroyi</w:t>
            </w:r>
            <w:r>
              <w:rPr>
                <w:rFonts w:ascii="Times New Roman" w:hAnsi="Times New Roman"/>
                <w:sz w:val="14"/>
                <w:szCs w:val="14"/>
                <w:lang w:val="uk-UA"/>
              </w:rPr>
              <w:t>-</w:t>
            </w:r>
            <w:r>
              <w:rPr>
                <w:rFonts w:ascii="Times New Roman" w:hAnsi="Times New Roman"/>
                <w:sz w:val="14"/>
                <w:szCs w:val="14"/>
              </w:rPr>
              <w:t>sliax</w:t>
            </w:r>
            <w:r>
              <w:rPr>
                <w:rFonts w:ascii="Times New Roman" w:hAnsi="Times New Roman"/>
                <w:sz w:val="14"/>
                <w:szCs w:val="14"/>
                <w:lang w:val="uk-UA"/>
              </w:rPr>
              <w:t>-</w:t>
            </w:r>
            <w:r>
              <w:rPr>
                <w:rFonts w:ascii="Times New Roman" w:hAnsi="Times New Roman"/>
                <w:sz w:val="14"/>
                <w:szCs w:val="14"/>
              </w:rPr>
              <w:t>do</w:t>
            </w:r>
            <w:r>
              <w:rPr>
                <w:rFonts w:ascii="Times New Roman" w:hAnsi="Times New Roman"/>
                <w:sz w:val="14"/>
                <w:szCs w:val="14"/>
                <w:lang w:val="uk-UA"/>
              </w:rPr>
              <w:t>-</w:t>
            </w:r>
            <w:r>
              <w:rPr>
                <w:rFonts w:ascii="Times New Roman" w:hAnsi="Times New Roman"/>
                <w:sz w:val="14"/>
                <w:szCs w:val="14"/>
              </w:rPr>
              <w:t>povnogo</w:t>
            </w:r>
            <w:r>
              <w:rPr>
                <w:rFonts w:ascii="Times New Roman" w:hAnsi="Times New Roman"/>
                <w:sz w:val="14"/>
                <w:szCs w:val="14"/>
                <w:lang w:val="uk-UA"/>
              </w:rPr>
              <w:t>-</w:t>
            </w:r>
            <w:r>
              <w:rPr>
                <w:rFonts w:ascii="Times New Roman" w:hAnsi="Times New Roman"/>
                <w:sz w:val="14"/>
                <w:szCs w:val="14"/>
              </w:rPr>
              <w:t>perexodu</w:t>
            </w:r>
            <w:r>
              <w:rPr>
                <w:rFonts w:ascii="Times New Roman" w:hAnsi="Times New Roman"/>
                <w:sz w:val="14"/>
                <w:szCs w:val="14"/>
                <w:lang w:val="uk-UA"/>
              </w:rPr>
              <w:t>-</w:t>
            </w:r>
            <w:r>
              <w:rPr>
                <w:rFonts w:ascii="Times New Roman" w:hAnsi="Times New Roman"/>
                <w:sz w:val="14"/>
                <w:szCs w:val="14"/>
              </w:rPr>
              <w:t>vid</w:t>
            </w:r>
            <w:r>
              <w:rPr>
                <w:rFonts w:ascii="Times New Roman" w:hAnsi="Times New Roman"/>
                <w:sz w:val="14"/>
                <w:szCs w:val="14"/>
                <w:lang w:val="uk-UA"/>
              </w:rPr>
              <w:t>-</w:t>
            </w:r>
            <w:r>
              <w:rPr>
                <w:rFonts w:ascii="Times New Roman" w:hAnsi="Times New Roman"/>
                <w:sz w:val="14"/>
                <w:szCs w:val="14"/>
              </w:rPr>
              <w:t>paperovoyi</w:t>
            </w:r>
            <w:r>
              <w:rPr>
                <w:rFonts w:ascii="Times New Roman" w:hAnsi="Times New Roman"/>
                <w:sz w:val="14"/>
                <w:szCs w:val="14"/>
                <w:lang w:val="uk-UA"/>
              </w:rPr>
              <w:t>-</w:t>
            </w:r>
            <w:r>
              <w:rPr>
                <w:rFonts w:ascii="Times New Roman" w:hAnsi="Times New Roman"/>
                <w:sz w:val="14"/>
                <w:szCs w:val="14"/>
              </w:rPr>
              <w:t>do</w:t>
            </w:r>
            <w:r>
              <w:rPr>
                <w:rFonts w:ascii="Times New Roman" w:hAnsi="Times New Roman"/>
                <w:sz w:val="14"/>
                <w:szCs w:val="14"/>
                <w:lang w:val="uk-UA"/>
              </w:rPr>
              <w:t>-</w:t>
            </w:r>
            <w:r>
              <w:rPr>
                <w:rFonts w:ascii="Times New Roman" w:hAnsi="Times New Roman"/>
                <w:sz w:val="14"/>
                <w:szCs w:val="14"/>
              </w:rPr>
              <w:t>elektronnoyi</w:t>
            </w:r>
            <w:r>
              <w:rPr>
                <w:rFonts w:ascii="Times New Roman" w:hAnsi="Times New Roman"/>
                <w:sz w:val="14"/>
                <w:szCs w:val="14"/>
                <w:lang w:val="uk-UA"/>
              </w:rPr>
              <w:t>-</w:t>
            </w:r>
            <w:r>
              <w:rPr>
                <w:rFonts w:ascii="Times New Roman" w:hAnsi="Times New Roman"/>
                <w:sz w:val="14"/>
                <w:szCs w:val="14"/>
              </w:rPr>
              <w:t>dokumentaciyi</w:t>
            </w:r>
            <w:r>
              <w:rPr>
                <w:rFonts w:ascii="Times New Roman" w:hAnsi="Times New Roman"/>
                <w:sz w:val="14"/>
                <w:szCs w:val="14"/>
                <w:lang w:val="uk-UA"/>
              </w:rPr>
              <w:t>-</w:t>
            </w:r>
            <w:r>
              <w:rPr>
                <w:rFonts w:ascii="Times New Roman" w:hAnsi="Times New Roman"/>
                <w:sz w:val="14"/>
                <w:szCs w:val="14"/>
              </w:rPr>
              <w:t>shhodo</w:t>
            </w:r>
            <w:r>
              <w:rPr>
                <w:rFonts w:ascii="Times New Roman" w:hAnsi="Times New Roman"/>
                <w:sz w:val="14"/>
                <w:szCs w:val="14"/>
                <w:lang w:val="uk-UA"/>
              </w:rPr>
              <w:t>-</w:t>
            </w:r>
            <w:r>
              <w:rPr>
                <w:rFonts w:ascii="Times New Roman" w:hAnsi="Times New Roman"/>
                <w:sz w:val="14"/>
                <w:szCs w:val="14"/>
              </w:rPr>
              <w:t>obigu</w:t>
            </w:r>
            <w:r>
              <w:rPr>
                <w:rFonts w:ascii="Times New Roman" w:hAnsi="Times New Roman"/>
                <w:sz w:val="14"/>
                <w:szCs w:val="14"/>
                <w:lang w:val="uk-UA"/>
              </w:rPr>
              <w:t>-</w:t>
            </w:r>
            <w:r>
              <w:rPr>
                <w:rFonts w:ascii="Times New Roman" w:hAnsi="Times New Roman"/>
                <w:sz w:val="14"/>
                <w:szCs w:val="14"/>
              </w:rPr>
              <w:t>zbroyi</w:t>
            </w:r>
          </w:p>
          <w:p>
            <w:pPr>
              <w:pStyle w:val="Normal"/>
              <w:widowControl w:val="false"/>
              <w:jc w:val="both"/>
              <w:rPr>
                <w:lang w:val="uk-UA"/>
              </w:rPr>
            </w:pPr>
            <w:r>
              <w:rPr>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tabs>
                <w:tab w:val="clear" w:pos="708"/>
                <w:tab w:val="left" w:pos="1311" w:leader="none"/>
              </w:tabs>
              <w:spacing w:lineRule="auto" w:line="240" w:before="0" w:after="0"/>
              <w:jc w:val="both"/>
              <w:rPr>
                <w:rFonts w:ascii="Times New Roman" w:hAnsi="Times New Roman"/>
                <w:spacing w:val="-8"/>
                <w:sz w:val="14"/>
                <w:szCs w:val="14"/>
                <w:shd w:fill="FFFFFF" w:val="clear"/>
                <w:lang w:val="uk-UA" w:eastAsia="ru-RU"/>
              </w:rPr>
            </w:pPr>
            <w:r>
              <w:rPr>
                <w:rStyle w:val="Hyperlink"/>
                <w:rFonts w:eastAsia="Cambria Math" w:ascii="Times New Roman" w:hAnsi="Times New Roman"/>
                <w:color w:val="auto"/>
                <w:kern w:val="2"/>
                <w:sz w:val="14"/>
                <w:szCs w:val="14"/>
                <w:u w:val="none"/>
                <w:lang w:val="uk-UA" w:eastAsia="ru-RU"/>
              </w:rPr>
              <w:t xml:space="preserve">Згідно доручення Голови НПУ від 12.10.2023 №10418/01/57-2023 в територіальних органах поліції </w:t>
            </w:r>
            <w:r>
              <w:rPr>
                <w:rFonts w:ascii="Times New Roman" w:hAnsi="Times New Roman"/>
                <w:spacing w:val="-8"/>
                <w:sz w:val="14"/>
                <w:szCs w:val="14"/>
                <w:shd w:fill="FFFFFF" w:val="clear"/>
                <w:lang w:val="uk-UA" w:eastAsia="ru-RU"/>
              </w:rPr>
              <w:t>звірки проводяться щомісячно</w:t>
            </w:r>
          </w:p>
          <w:p>
            <w:pPr>
              <w:pStyle w:val="Normal"/>
              <w:widowControl w:val="false"/>
              <w:spacing w:lineRule="auto" w:line="240" w:before="0" w:after="0"/>
              <w:jc w:val="both"/>
              <w:rPr>
                <w:lang w:val="ru-RU"/>
              </w:rPr>
            </w:pPr>
            <w:r>
              <w:rPr>
                <w:lang w:val="ru-RU"/>
              </w:rPr>
            </w:r>
          </w:p>
          <w:p>
            <w:pPr>
              <w:pStyle w:val="Normal"/>
              <w:widowControl w:val="false"/>
              <w:spacing w:lineRule="auto" w:line="240" w:before="0" w:after="0"/>
              <w:jc w:val="both"/>
              <w:rPr>
                <w:lang w:val="ru-RU"/>
              </w:rPr>
            </w:pPr>
            <w:r>
              <w:rPr>
                <w:lang w:val="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метою продовження  та поглиблення співпраці із Консультативною місією Європейського Союзу в Україні (КМЄС в Україні) у сфері боротьби з корупцією, обговорення поточних і майбутніх напрямків співробітництва, розробки методичних матеріалів у т.ч. з питань запобігання та врегулювання конфлікту інтересів (пам’яток, плакатів, інфографіків, алгоритмів тощо), 06.09.2022 між працівниками УЗК НПУ та представниками КМЄС в Україні відбулася зустріч з вищевказаних питань.</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Розроблена  пам’ятка щодо недопущення прийняття рішення працівником поліції в умовах конфлікту інтересів при   проведенні службових розслідувань чи при розгляді заяв, скарг громадян тощо (доповідна УЗК НПУ від 14.10.2022                 № 26269).Розроблена пам’ятка щодо запобігання та врегулювання конфліктів інтересів у діяльності уповноважених осіб та членів робочої групи, відповідальних за організацію та проведення процедур закупівлі в органах поліції, при проведені процедур розгляду тендерних пропозицій (доповідна УЗК від 19.10.2022 № 26682).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На виконання доручення Голови НПУ від 09.09.2020 № 27991 щодо виконання вимог статті 27 ЗУ «Про запобігання корупції»,  УЗК опрацьовуються списки близьких осіб структурних підрозділів центрального органу управління поліції та державних установ з метою недопущення та, за наявності, врегулювання конфлікту інтересів.</w:t>
            </w:r>
          </w:p>
          <w:p>
            <w:pPr>
              <w:pStyle w:val="Normal"/>
              <w:widowControl w:val="false"/>
              <w:spacing w:lineRule="auto" w:line="240" w:before="0" w:after="0"/>
              <w:jc w:val="both"/>
              <w:rPr>
                <w:rFonts w:ascii="Times New Roman" w:hAnsi="Times New Roman"/>
                <w:sz w:val="14"/>
                <w:szCs w:val="14"/>
                <w:lang w:val="uk-UA"/>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23</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VII. Надання адміністративних послуг Національною поліцією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задоволення працівниками поліції приватного інтересу свого або на користь третіх осіб під час опрацювання відповідних документів для надання дозволів суб’єктам господарювання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214" w:hanging="0"/>
              <w:rPr>
                <w:rFonts w:ascii="Times New Roman" w:hAnsi="Times New Roman"/>
                <w:sz w:val="14"/>
                <w:szCs w:val="14"/>
                <w:lang w:val="uk-UA"/>
              </w:rPr>
            </w:pPr>
            <w:r>
              <w:rPr>
                <w:rFonts w:ascii="Times New Roman" w:hAnsi="Times New Roman"/>
                <w:sz w:val="14"/>
                <w:szCs w:val="14"/>
                <w:lang w:val="uk-UA"/>
              </w:rPr>
              <w:t>Посадові особи поліції використовуючи владні повноваження можуть  вимагати, прийняти пропозицію, обіцянку або одержати неправомірну вигоду від зацікавлених осіб (суб’єктів господарювання) за видачу дозволів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 без необхідних документів або невідповідністю об’єктів і приміщень вимогам установленим МВС або наявності конфлікту інтересів (приватного інтересу, у т.ч. близьких осіб, родинних зв’язків тощо)</w:t>
            </w:r>
          </w:p>
          <w:p>
            <w:pPr>
              <w:pStyle w:val="Normal"/>
              <w:widowControl w:val="false"/>
              <w:spacing w:lineRule="auto" w:line="240" w:before="0" w:after="0"/>
              <w:ind w:left="27" w:right="-21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21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7" w:right="-214" w:hanging="0"/>
              <w:rPr>
                <w:rFonts w:ascii="Times New Roman" w:hAnsi="Times New Roman"/>
                <w:sz w:val="14"/>
                <w:szCs w:val="14"/>
                <w:lang w:val="uk-UA"/>
              </w:rPr>
            </w:pPr>
            <w:r>
              <w:rPr>
                <w:rFonts w:ascii="Times New Roman" w:hAnsi="Times New Roman"/>
                <w:sz w:val="14"/>
                <w:szCs w:val="14"/>
                <w:lang w:val="uk-UA"/>
              </w:rPr>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1.Недостатні існуючі методи контролю за порядком видачі дозволів суб’єктам господарювання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посадових осіб поліції під час надання таких послуг</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 Здійснення постійного контролю за законністю надання суб’єктам господарювання дозволів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2.Керівництвом ДБН вивчаються стан сімейно-побутових умов мешкання підлеглих працівників ДБН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3.Попереджаються працівники поліції ДБН про відповідальність, яка настає за порушення антикорупційного законодавства</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4"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4"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4"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1.Розробка комплексу контрольних заходів з боку керівництва ДБН за виконанням працівниками поліції завдань, пов’язаних  з опрацюванням документів для надання відповідних дозволів (вивчення матеріалів, здійснення контрольних вибіркових виїздів на об’єкти тощо)</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2.Розробка алгоритму дій працівників поліції щодо недопущення конфлікту інтересів (відсутність приватного інтересу, у т.ч. близьких осіб, родинних зв’язків тощо) під час опрацювання відповідних документів</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3.Проведення керівництвом ДБН моніторингу та аналізу повідомлень, у т.ч. отриманих із відкритих джерел, ЗМІ тощо, про порушення працівниками поліції ДБН вимог антикорупційного законодавства при видачі дозволів суб’єктам господарювання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30.10.22</w:t>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30.10.22</w:t>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75" w:right="-98" w:hanging="0"/>
              <w:jc w:val="center"/>
              <w:rPr>
                <w:rFonts w:ascii="Times New Roman" w:hAnsi="Times New Roman"/>
                <w:sz w:val="14"/>
                <w:szCs w:val="14"/>
                <w:lang w:val="uk-UA"/>
              </w:rPr>
            </w:pPr>
            <w:r>
              <w:rPr>
                <w:rFonts w:ascii="Times New Roman" w:hAnsi="Times New Roman"/>
                <w:sz w:val="14"/>
                <w:szCs w:val="14"/>
                <w:lang w:val="uk-UA"/>
              </w:rPr>
              <w:t>Місяць</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ДБН</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ДБН</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ДБН</w:t>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Розроблено комплекс заходів</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Алгоритм дій розроблено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Відповідний моніторинг та аналіз повідомлень проведено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t>26.01.22</w:t>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t>27.09.22</w:t>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1" w:right="-126" w:hanging="0"/>
              <w:jc w:val="center"/>
              <w:rPr>
                <w:rFonts w:ascii="Times New Roman" w:hAnsi="Times New Roman"/>
                <w:sz w:val="14"/>
                <w:szCs w:val="14"/>
                <w:lang w:val="uk-UA"/>
              </w:rPr>
            </w:pPr>
            <w:r>
              <w:rPr>
                <w:rFonts w:ascii="Times New Roman" w:hAnsi="Times New Roman"/>
                <w:sz w:val="14"/>
                <w:szCs w:val="14"/>
                <w:lang w:val="uk-UA"/>
              </w:rPr>
              <w:t>30.06.24</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Відповідний комплекс заходів затверджений дорученням ДБН НП України від 26.01.2022 № 397/40/8/01-2022 «Про попередження корупційних правопорушень під час видачі дозволів територіальними (відокремленими) підрозділами Департаменту боротьби з наркозлочинністю»</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Порядок опрацювання матеріалів щодо видачі або відмови у видачі дозволу НП України визначено відповідним порядком затвердженим постановою Кабінет Міністрів України від 13.04.2011 року № 469 відповідного до якого територіальні підрозділи УБН здійснюють таку діяльність. Контролюється керівництвом ДБН відповідно до протоколів нарад.</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 № </w:t>
            </w:r>
            <w:r>
              <w:rPr>
                <w:rFonts w:ascii="Times New Roman" w:hAnsi="Times New Roman"/>
                <w:sz w:val="14"/>
                <w:szCs w:val="14"/>
                <w:lang w:val="uk-UA"/>
              </w:rPr>
              <w:t>1189/40/10/03-2022 від 11.05.2022; №2111/40/8/03-2022 від 23.07.2022; №3001/40/8/01-2022 від 22.09.2022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Алгоритм дій розроблений та скерований до територіальних підрозділів УБН ДБН НПУ                                   № 3054/40/18/03-2022 від 27.09.2022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jc w:val="both"/>
              <w:rPr>
                <w:rFonts w:ascii="Times New Roman" w:hAnsi="Times New Roman"/>
                <w:spacing w:val="-8"/>
                <w:shd w:fill="FFFFFF" w:val="clear"/>
                <w:lang w:val="uk-UA" w:eastAsia="ru-RU"/>
              </w:rPr>
            </w:pPr>
            <w:r>
              <w:rPr>
                <w:rFonts w:ascii="Times New Roman" w:hAnsi="Times New Roman"/>
                <w:sz w:val="14"/>
                <w:szCs w:val="14"/>
                <w:lang w:val="uk-UA"/>
              </w:rPr>
              <w:t xml:space="preserve">Моніторинг та аналіз повідомлень, проводиться щомісяця на постійній основі. </w:t>
            </w:r>
            <w:r>
              <w:rPr>
                <w:rFonts w:ascii="Times New Roman" w:hAnsi="Times New Roman"/>
                <w:spacing w:val="-8"/>
                <w:sz w:val="14"/>
                <w:szCs w:val="14"/>
                <w:shd w:fill="FFFFFF" w:val="clear"/>
                <w:lang w:val="uk-UA" w:eastAsia="ru-RU"/>
              </w:rPr>
              <w:t>На 30.</w:t>
            </w:r>
            <w:r>
              <w:rPr>
                <w:rFonts w:ascii="Times New Roman" w:hAnsi="Times New Roman"/>
                <w:spacing w:val="-8"/>
                <w:sz w:val="14"/>
                <w:szCs w:val="14"/>
                <w:shd w:fill="FFFFFF" w:val="clear"/>
                <w:lang w:eastAsia="ru-RU"/>
              </w:rPr>
              <w:t>0</w:t>
            </w:r>
            <w:r>
              <w:rPr>
                <w:rFonts w:ascii="Times New Roman" w:hAnsi="Times New Roman"/>
                <w:spacing w:val="-8"/>
                <w:sz w:val="14"/>
                <w:szCs w:val="14"/>
                <w:shd w:fill="FFFFFF" w:val="clear"/>
                <w:lang w:val="uk-UA" w:eastAsia="ru-RU"/>
              </w:rPr>
              <w:t>6.2024  порушень не виявлено.</w:t>
            </w:r>
          </w:p>
          <w:p>
            <w:pPr>
              <w:pStyle w:val="Normal"/>
              <w:widowControl w:val="false"/>
              <w:ind w:left="-62" w:right="34" w:hanging="0"/>
              <w:jc w:val="both"/>
              <w:rPr>
                <w:bCs/>
                <w:lang w:val="ru-RU"/>
              </w:rPr>
            </w:pPr>
            <w:r>
              <w:rPr>
                <w:bCs/>
                <w:lang w:val="ru-RU"/>
              </w:rPr>
            </w:r>
          </w:p>
          <w:p>
            <w:pPr>
              <w:pStyle w:val="Normal"/>
              <w:widowControl w:val="false"/>
              <w:spacing w:lineRule="auto" w:line="240" w:before="0" w:after="0"/>
              <w:jc w:val="both"/>
              <w:rPr>
                <w:rFonts w:ascii="Times New Roman" w:hAnsi="Times New Roman"/>
                <w:sz w:val="14"/>
                <w:szCs w:val="14"/>
                <w:lang w:val="ru-RU"/>
              </w:rPr>
            </w:pPr>
            <w:r>
              <w:rPr>
                <w:rFonts w:ascii="Times New Roman" w:hAnsi="Times New Roman"/>
                <w:sz w:val="14"/>
                <w:szCs w:val="14"/>
                <w:lang w:val="ru-RU"/>
              </w:rPr>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24</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VIII.   Управління матеріальними ресурсами та фінансового забезпечення</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Можливий вплив зацікавлених осіб на посадових осіб поліції у зв’язку з «наданням у борг» або неналежним чином оформленого, ПММ для використання у службовій діяльності</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 xml:space="preserve">Посадові особи поліції використовуючи службові повноваження можуть  вимагати, прийняти пропозицію, обіцянку або одержати неправомірну вигоду від зацікавлених осіб (потенційних орендарів) за надання в оренду приміщень, земельних ділянок, іншого майна, за необґрунтовано заниженою вартістю або з порушенням цільового використання  </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1.Недостатньо ефективна</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система проведення відповідних  закупівель.</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2.Недостатня ефективність системи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працівників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1. Регламентована процедура надання в оренду фізичним та юридичним особам службових приміщень, земельних ділянок, іншого майна, що перебуває на балансі підрозділів  поліції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1.Розробка організаційно-розпорядчого документу, з організації та здійснення моніторингу інформації щодо процедур закупівлі ПММ за державні кошти, які проводяться ЦОП, з метою виявлення порушень законодавства з питань публічних закупівель</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2.Розробка та затвердження порядку планування щорічних (щоквартальних) потреб закупівлі ПММ</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3.Проведення своєчасного аналізу запасів ПММ та інтенсивності їх використання перед формуванням потреби, з метою недопущення дефіциту ПММ у підрозділах поліції</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30.08.22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ПД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ДФЗБ УЗК 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t>Розроблено організаційно-розпорядчий документ</w:t>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t>Порядок планування щорічних закупівель розроблено</w:t>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t>Своєчасний аналіз запасів ПММ проведено</w:t>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06" w:hanging="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проведено</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t>17.03.23</w:t>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0" w:right="-125"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Підготовлено відповідний наказ  «ЦОП Національної поліції України» від 17.03.2023 № 47 «Про організацію закупівель ПММ за державні кошти».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Здійснюється в умовах воєнного стану згідно постанови КМУ від 11 листопада 2022 р. № 1275 «Про затвердження особливостей здійснення оборонних закупівель на період дії правового режиму воєнного стану».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Проводиться щоквартальна звірка облікових даних ПММ в умовах воєнного стану згідно постанови КМУ від 28 лютого 2022 р. № 169 «Деякі питання здійснення оборонних та публічних закупівель товарів, робіт чи послуг в умовах воєнного стану» та наказу НПУ від 27.04.2022               № 285 «Про окремі питання оформлення передачі майна в органах та установах поліції у період дії воєнного стану»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Перед формуванням потреби щодо закупівлі, з метою недопущення дефіциту ПММ, відділом експлуатації автотранспорту Центру проведено аналіз запасів ПММ та інтенсивності їх використання.</w:t>
            </w:r>
          </w:p>
          <w:p>
            <w:pPr>
              <w:pStyle w:val="Normal"/>
              <w:widowControl w:val="false"/>
              <w:spacing w:lineRule="auto" w:line="240" w:before="0" w:after="0"/>
              <w:jc w:val="both"/>
              <w:rPr>
                <w:rFonts w:ascii="Times New Roman" w:hAnsi="Times New Roman"/>
                <w:bCs/>
                <w:sz w:val="14"/>
                <w:szCs w:val="14"/>
                <w:lang w:val="uk-UA"/>
              </w:rPr>
            </w:pPr>
            <w:r>
              <w:rPr>
                <w:rFonts w:ascii="Times New Roman" w:hAnsi="Times New Roman"/>
                <w:bCs/>
                <w:sz w:val="14"/>
                <w:szCs w:val="14"/>
                <w:lang w:val="uk-UA"/>
              </w:rPr>
              <w:t>З метою додаткового проведення аналізу матеріально-технічного та ресурсного забезпечення МВС, наказом МВС від 14.08.2023 № 661 внесені зміни до «Положення про функціональну підсистему матеріально-технічне та ресурсне забезпечення МВС та центральних органів виконавчої влади, діяльність яких спрямовується і координується Кабінетом Міністрів України через Міністра внутрішніх справ України єдиної інформаційної системи МВС».</w:t>
            </w:r>
          </w:p>
          <w:p>
            <w:pPr>
              <w:pStyle w:val="Normal"/>
              <w:widowControl w:val="false"/>
              <w:spacing w:lineRule="auto" w:line="240" w:before="0" w:after="0"/>
              <w:jc w:val="both"/>
              <w:rPr>
                <w:rFonts w:ascii="Times New Roman" w:hAnsi="Times New Roman"/>
                <w:bCs/>
                <w:sz w:val="14"/>
                <w:szCs w:val="14"/>
                <w:lang w:val="uk-UA"/>
              </w:rPr>
            </w:pPr>
            <w:r>
              <w:rPr>
                <w:rFonts w:ascii="Times New Roman" w:hAnsi="Times New Roman"/>
                <w:sz w:val="14"/>
                <w:szCs w:val="14"/>
                <w:lang w:val="uk-UA"/>
              </w:rPr>
              <w:t>З метою</w:t>
            </w:r>
            <w:r>
              <w:rPr>
                <w:rFonts w:ascii="Times New Roman" w:hAnsi="Times New Roman"/>
                <w:bCs/>
                <w:sz w:val="14"/>
                <w:szCs w:val="14"/>
                <w:lang w:val="uk-UA"/>
              </w:rPr>
              <w:t xml:space="preserve"> проведення аналізу моніторингу інформації щодо процедур закупівлі ПММ за державні кошти  уповноваженим особам, відповідальним за проведення публічних закупівель товарів, робіт та послуг доручено проводити відповідний моніторинг відповідно до наказу НПУ від 30.03.2021 № 249 (доручення начальника ЦОП від 30.12.2022 № 4108/51/01-2022).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Протягом 4 кварталу 2023 року проведено близько 53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т.ч., Європейського суду з прав людини.</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tabs>
                <w:tab w:val="clear" w:pos="708"/>
                <w:tab w:val="left" w:pos="0" w:leader="none"/>
              </w:tabs>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25</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VIII.   Управління матеріальними ресурсами та фінансового забезпечення</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 зловживання своїм службовим становищем посадовими особами поліції при наданні в оренду фізичним та юридичним особам службових приміщень, земельних ділянок, іншого майна, що перебуває на балансі підрозділів  поліції</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 xml:space="preserve">Посадові особи поліції використовуючи службові повноваження можуть  вимагати, прийняти пропозицію, обіцянку або одержати неправомірну вигоду від зацікавлених осіб (потенційних орендарів) за надання в оренду приміщень, земельних ділянок, іншого майна, за необґрунтовано заниженою вартістю або з порушенням цільового використання  </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ефективність системи</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посадових осіб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1. Регламентована процедура надання в оренду фізичним та юридичним особам службових приміщень, земельних ділянок, іншого майна, що перебуває на балансі  НПУ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4"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4"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4"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1.Проведення вибіркових перевірок підрозділів поліції щодо виконання порядку надання в оренду службових приміщень, земельних ділянок, іншого майна (вартість оренди, стан збереження та ефективності використання)</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2.Створення інвентаризаційних комісій із включенням до них працівника ДВБ та працівника уповноваженого підрозділу (уповноважену особу) з питань запобігання та виявлення корупції</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3.Проведення  інвентаризацій наданих в оренду службових приміщень, земельних ділянок, іншого майна, що перебуває на балансі підрозділів  поліції. (вартість оренди, стан збереження та ефективності використання)</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 Додаткове попередження працівників поліції про  відповідальність,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Згідно графіка</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t>Щорічно</w:t>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t>Щорічно</w:t>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7"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18" w:hanging="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відповідні перевірки підрозділів поліції  проведено</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t>Створено інвентаризаційні комісії</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Проведено  інвентаризацію майна</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43" w:right="-121" w:hanging="0"/>
              <w:jc w:val="center"/>
              <w:rPr>
                <w:rFonts w:ascii="Times New Roman" w:hAnsi="Times New Roman"/>
                <w:b/>
                <w:b/>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rPr>
                <w:rFonts w:ascii="Times New Roman" w:hAnsi="Times New Roman"/>
                <w:sz w:val="14"/>
                <w:szCs w:val="14"/>
                <w:lang w:val="uk-UA"/>
              </w:rPr>
            </w:pPr>
            <w:r>
              <w:rPr>
                <w:rFonts w:ascii="Times New Roman" w:hAnsi="Times New Roman"/>
                <w:sz w:val="14"/>
                <w:szCs w:val="14"/>
                <w:lang w:val="uk-UA"/>
              </w:rPr>
              <w:t>23.05.23</w:t>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t>15.09.23</w:t>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34" w:hanging="0"/>
              <w:jc w:val="center"/>
              <w:rPr>
                <w:rFonts w:ascii="Times New Roman" w:hAnsi="Times New Roman"/>
                <w:sz w:val="14"/>
                <w:szCs w:val="14"/>
                <w:lang w:val="uk-UA"/>
              </w:rPr>
            </w:pPr>
            <w:r>
              <w:rPr>
                <w:rFonts w:ascii="Times New Roman" w:hAnsi="Times New Roman"/>
                <w:sz w:val="14"/>
                <w:szCs w:val="14"/>
                <w:lang w:val="uk-UA"/>
              </w:rPr>
              <w:t>30.06.24</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19" w:hanging="0"/>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9"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5" w:right="-119"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19"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0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Проведення вибіркових перевірок стану утримання, збереження та використання майна, переданого в оренду проводиться Фондом державного майна України відповідно до зведеного плану діяльності на кожен рік, який публікується на офіційному веб-сайті Фонду державного майна України  </w:t>
            </w:r>
          </w:p>
          <w:p>
            <w:pPr>
              <w:pStyle w:val="Normal"/>
              <w:widowControl w:val="false"/>
              <w:spacing w:lineRule="auto" w:line="240" w:before="0" w:after="0"/>
              <w:ind w:firstLine="5"/>
              <w:jc w:val="both"/>
              <w:rPr>
                <w:rFonts w:ascii="Times New Roman" w:hAnsi="Times New Roman"/>
                <w:sz w:val="14"/>
                <w:szCs w:val="14"/>
                <w:lang w:val="uk-UA"/>
              </w:rPr>
            </w:pPr>
            <w:r>
              <w:rPr>
                <w:rFonts w:ascii="Times New Roman" w:hAnsi="Times New Roman"/>
                <w:sz w:val="14"/>
                <w:szCs w:val="14"/>
                <w:lang w:val="uk-UA"/>
              </w:rPr>
              <w:t>У 2023 році Регіональним відділенням Фонду було перевірено 1 перевірку стану використання державного майна, що перебуває на балансі ДУ «Дошкольний навчальний заклад № 271 НПУ (м.Дніпро)- порушень не встановлено.</w:t>
            </w:r>
          </w:p>
          <w:p>
            <w:pPr>
              <w:pStyle w:val="Normal"/>
              <w:widowControl w:val="false"/>
              <w:spacing w:lineRule="auto" w:line="240" w:before="0" w:after="0"/>
              <w:ind w:firstLine="5"/>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firstLine="5"/>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метою забезпечення ефективності використання державного майна, а також наа виконання наказу НПУ від 28.10.2021 № 893 «Про організацію суцільної інвентаризації активів і зобов’язань у територіальних (у т.ч. міжрегіональних) органах НПУ, закладах та установах, які належать до сфери управління НПУ» у підрозділах НПУ в 2022 році створені інвентаризаційні комісії із включенням до них працівника ДВБ.</w:t>
            </w:r>
          </w:p>
          <w:p>
            <w:pPr>
              <w:pStyle w:val="Normal"/>
              <w:widowControl w:val="false"/>
              <w:spacing w:lineRule="auto" w:line="240" w:before="0" w:after="0"/>
              <w:jc w:val="both"/>
              <w:rPr>
                <w:rFonts w:ascii="Times New Roman" w:hAnsi="Times New Roman"/>
                <w:sz w:val="16"/>
                <w:szCs w:val="16"/>
                <w:lang w:val="uk-UA" w:eastAsia="ru-RU" w:bidi="uk-UA"/>
              </w:rPr>
            </w:pPr>
            <w:r>
              <w:rPr>
                <w:rFonts w:ascii="Times New Roman" w:hAnsi="Times New Roman"/>
                <w:sz w:val="14"/>
                <w:szCs w:val="14"/>
                <w:lang w:val="uk-UA"/>
              </w:rPr>
              <w:t xml:space="preserve">Згідно наказу від 31.10.2022 № 155  «Про затвердження комісії та проведення щорічної інвентаризації в ДУ «ЦОП НПУ» затверджено комісію для проведення щорічної інвентаризації. </w:t>
            </w:r>
          </w:p>
          <w:p>
            <w:pPr>
              <w:pStyle w:val="Normal"/>
              <w:widowControl w:val="false"/>
              <w:spacing w:lineRule="auto" w:line="240" w:before="0" w:after="0"/>
              <w:ind w:left="5" w:hanging="0"/>
              <w:jc w:val="both"/>
              <w:rPr>
                <w:rFonts w:ascii="Times New Roman" w:hAnsi="Times New Roman"/>
                <w:spacing w:val="-8"/>
                <w:sz w:val="14"/>
                <w:szCs w:val="14"/>
                <w:shd w:fill="FFFFFF" w:val="clear"/>
                <w:lang w:val="uk-UA" w:eastAsia="ru-RU"/>
              </w:rPr>
            </w:pPr>
            <w:r>
              <w:rPr>
                <w:rFonts w:ascii="Times New Roman" w:hAnsi="Times New Roman"/>
                <w:sz w:val="14"/>
                <w:szCs w:val="14"/>
                <w:lang w:val="uk-UA"/>
              </w:rPr>
              <w:t xml:space="preserve">Додатково підготовлено та розіслано до </w:t>
            </w:r>
            <w:r>
              <w:rPr>
                <w:rFonts w:ascii="Times New Roman" w:hAnsi="Times New Roman"/>
                <w:spacing w:val="-8"/>
                <w:sz w:val="14"/>
                <w:szCs w:val="14"/>
                <w:shd w:fill="FFFFFF" w:val="clear"/>
                <w:lang w:val="uk-UA" w:eastAsia="ru-RU"/>
              </w:rPr>
              <w:t xml:space="preserve"> територіальних у т.ч. міжрегіональних органів поліції доручення керівництва ДУМ, щодо  обов’язкового включення до комісій при проведенні щорічної інвентаризації, а також списання товарно-матеріальних цінностей, </w:t>
            </w:r>
            <w:r>
              <w:rPr>
                <w:rFonts w:ascii="Times New Roman" w:hAnsi="Times New Roman"/>
                <w:sz w:val="14"/>
                <w:szCs w:val="14"/>
                <w:lang w:val="uk-UA" w:eastAsia="ru-RU" w:bidi="uk-UA"/>
              </w:rPr>
              <w:t>працівника</w:t>
            </w:r>
            <w:r>
              <w:rPr>
                <w:rFonts w:ascii="Times New Roman" w:hAnsi="Times New Roman"/>
                <w:spacing w:val="-8"/>
                <w:sz w:val="14"/>
                <w:szCs w:val="14"/>
                <w:shd w:fill="FFFFFF" w:val="clear"/>
                <w:lang w:val="uk-UA" w:eastAsia="ru-RU"/>
              </w:rPr>
              <w:t xml:space="preserve"> підрозділу внутрішньої безпеки</w:t>
            </w:r>
            <w:r>
              <w:rPr>
                <w:rFonts w:ascii="Times New Roman" w:hAnsi="Times New Roman"/>
                <w:sz w:val="14"/>
                <w:szCs w:val="14"/>
                <w:lang w:val="uk-UA" w:eastAsia="ru-RU" w:bidi="uk-UA"/>
              </w:rPr>
              <w:t xml:space="preserve"> та</w:t>
            </w:r>
            <w:r>
              <w:rPr>
                <w:rFonts w:ascii="Times New Roman" w:hAnsi="Times New Roman"/>
                <w:spacing w:val="-8"/>
                <w:sz w:val="14"/>
                <w:szCs w:val="14"/>
                <w:shd w:fill="FFFFFF" w:val="clear"/>
                <w:lang w:val="uk-UA" w:eastAsia="ru-RU"/>
              </w:rPr>
              <w:t xml:space="preserve"> працівника уповноваженого підрозділу (уповноважену особу) з питань запобігання та виявлення корупції (вих. від 23.05.2023                                   № 4629/31/07-2023)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Регіональні відділення Фонду державного майна проводять періодичні вибіркові перевірки об’єктів НПУ на предмет не використання нерухомого майна та за результатами пропонують об’єкт, що не використовується за призначенням – до приватизації.</w:t>
            </w:r>
          </w:p>
          <w:p>
            <w:pPr>
              <w:pStyle w:val="Normal"/>
              <w:widowControl w:val="false"/>
              <w:spacing w:lineRule="auto" w:line="240" w:before="0" w:after="0"/>
              <w:ind w:firstLine="5"/>
              <w:jc w:val="both"/>
              <w:rPr>
                <w:rFonts w:ascii="Times New Roman" w:hAnsi="Times New Roman"/>
                <w:sz w:val="14"/>
                <w:szCs w:val="14"/>
                <w:lang w:val="uk-UA"/>
              </w:rPr>
            </w:pPr>
            <w:r>
              <w:rPr>
                <w:rFonts w:ascii="Times New Roman" w:hAnsi="Times New Roman"/>
                <w:sz w:val="14"/>
                <w:szCs w:val="14"/>
                <w:lang w:val="uk-UA"/>
              </w:rPr>
              <w:t>ДУМ підготовлений та направлений до підрозділів поліції лист щодо обов’язкової перевірки ними об’єктів, які передані в оренду на предмет їх цільового використання, стану тощо. (лист від 15.09.2023 №9336/09/31-2023)</w:t>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Style w:val="Hyperlink"/>
                <w:rFonts w:ascii="Times New Roman" w:hAnsi="Times New Roman"/>
                <w:color w:val="auto"/>
                <w:spacing w:val="-8"/>
                <w:sz w:val="14"/>
                <w:szCs w:val="14"/>
                <w:shd w:fill="FFFFFF" w:val="clear"/>
                <w:lang w:val="uk-UA" w:eastAsia="ru-RU"/>
              </w:rPr>
            </w:pPr>
            <w:r>
              <w:rPr>
                <w:rFonts w:ascii="Times New Roman" w:hAnsi="Times New Roman"/>
                <w:spacing w:val="-8"/>
                <w:sz w:val="14"/>
                <w:szCs w:val="14"/>
                <w:shd w:fill="FFFFFF" w:val="clear"/>
                <w:lang w:val="uk-UA" w:eastAsia="ru-RU"/>
              </w:rPr>
              <w:t>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 Крім того, відповідно до Типового порядку проведення конкурсу на службу до поліції та/або зайняття вакантної посади, затвердженого наказом МВС від 25.12.2015  № 1631, кандидати на стадії відбору, а також працівники поліції, в порядку просування по службі, проходять тестування на знання законодавства, у т.ч. антикорупційного. Додатковий  контроль рівня знань антикорупційного законодавства здійснюється при проведенні перевірки                          з визначення рівня службової</w:t>
            </w:r>
            <w:r>
              <w:rPr>
                <w:spacing w:val="-8"/>
                <w:shd w:fill="FFFFFF" w:val="clear"/>
                <w:lang w:val="uk-UA" w:eastAsia="ru-RU"/>
              </w:rPr>
              <w:t xml:space="preserve"> </w:t>
            </w:r>
            <w:r>
              <w:rPr>
                <w:rFonts w:ascii="Times New Roman" w:hAnsi="Times New Roman"/>
                <w:spacing w:val="-8"/>
                <w:sz w:val="14"/>
                <w:szCs w:val="14"/>
                <w:shd w:fill="FFFFFF" w:val="clear"/>
                <w:lang w:val="uk-UA" w:eastAsia="ru-RU"/>
              </w:rPr>
              <w:t>підготовленості поліцейських (наказ НПУ від 25.08.2022),                      а також під час організації службової підготовки поліцейських (наказ НПУ від 15.12.2021 № 1049).</w:t>
            </w:r>
            <w:r>
              <w:rPr>
                <w:rFonts w:ascii="Times New Roman" w:hAnsi="Times New Roman"/>
                <w:sz w:val="14"/>
                <w:szCs w:val="14"/>
                <w:lang w:val="uk-UA"/>
              </w:rPr>
              <w:t xml:space="preserve"> </w:t>
            </w:r>
            <w:hyperlink r:id="rId9">
              <w:r>
                <w:rPr>
                  <w:rStyle w:val="Hyperlink"/>
                  <w:rFonts w:ascii="Times New Roman" w:hAnsi="Times New Roman"/>
                  <w:color w:val="000000"/>
                  <w:spacing w:val="-8"/>
                  <w:sz w:val="14"/>
                  <w:szCs w:val="14"/>
                  <w:shd w:fill="FFFFFF" w:val="clear"/>
                  <w:lang w:val="uk-UA" w:eastAsia="ru-RU"/>
                </w:rPr>
                <w:t>https://www.npu.gov.ua/pro-policiyu/zapobigannya-i-protidiya-korupciyi/vidpovidalnist-za-korupcijni-abo-povyazani-z-korupciyeyu-pravoporushennya</w:t>
              </w:r>
            </w:hyperlink>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26</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VIII.   Управління матеріальними ресурсами та фінансового забезпечення</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Можлива недоброчесність посадових осіб поліції при списанні матеріальних ресурсів, з метою отримання неправомірної вигоди від третіх осіб</w:t>
            </w:r>
          </w:p>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Можливі порушення  посадовими особами поліції вимог законодавства щодо підстав та порядку списання матеріальних ресурсів, з метою подальшого використання в особистих цілях безпідставно списаного майна або з метою отримання неправомірної вигоди від третіх осіб</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1.Недостатні існуючі методи контролю за порядком списання матеріальних ресурсів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2.Недостатня  урегульованість внутрішнього алгоритму дій</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посадових осіб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1.Інвентаризація активів, що підлягають списанню</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2.Перевірка встановлених норм списання та первинні документи, що є підставою для прийняття рішення про списання матеріальних ресурсів</w:t>
            </w:r>
          </w:p>
          <w:p>
            <w:pPr>
              <w:pStyle w:val="Normal"/>
              <w:widowControl w:val="false"/>
              <w:spacing w:lineRule="auto" w:line="240" w:before="0" w:after="0"/>
              <w:ind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3.Контроль матеріально-відповідальних осіб, проведення зборів стосовно стану та потреб матеріальних цінностей</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4.Навчання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1.З метою визначення непридатності матеріальних цінностей і встановлення неможливості або неефе-ктивності проведення їх відновлювального ремонту, а також для оформлення необхідної документації на списання цих цінностей,  створити комісії у підрозділах поліції, з обов’язковим  включенням працівників ДВБ, УВА та уповноваженого підрозділу (уповноважену особу) з питань запобігання та виявлення корупції.</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2.Розробка методичних рекомендацій</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щодо порядку списання матеріальних ресурсів  у поліції, з метою  встановлення можливості або неможливості віднов¬лення  та їх подальшого використання, встановлення конкретних причин  їх списання,  встановлення осіб, з вини яких трапився передчасний вихід матеріальних цінностей з ладу (якщо такі є) та необхідних шляхів  їх списання з балансу (продажу, безоплатної передачі, ліквідації)</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 Додаткове попередження посадових осіб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 xml:space="preserve">Щорічно </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30.07.22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ДФЗБ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УВА</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ДФЗБ УВА 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ДУМ</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79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7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Відповідні комісії у необхідному складі  створені</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64" w:hanging="0"/>
              <w:jc w:val="center"/>
              <w:rPr>
                <w:rFonts w:ascii="Times New Roman" w:hAnsi="Times New Roman"/>
                <w:sz w:val="14"/>
                <w:szCs w:val="14"/>
                <w:lang w:val="ru-RU"/>
              </w:rPr>
            </w:pPr>
            <w:r>
              <w:rPr>
                <w:rFonts w:ascii="Times New Roman" w:hAnsi="Times New Roman"/>
                <w:sz w:val="14"/>
                <w:szCs w:val="14"/>
                <w:lang w:val="ru-RU"/>
              </w:rPr>
              <w:t>Розроблено методичні рекомендації</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ru-RU"/>
              </w:rPr>
              <w:t>щодо порядку списання матеріальних ресурсів  у поліції</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здійснено</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15.06.23</w:t>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53" w:right="-121" w:hanging="0"/>
              <w:jc w:val="center"/>
              <w:rPr>
                <w:rFonts w:ascii="Times New Roman" w:hAnsi="Times New Roman"/>
                <w:sz w:val="14"/>
                <w:szCs w:val="14"/>
                <w:lang w:val="uk-UA"/>
              </w:rPr>
            </w:pPr>
            <w:r>
              <w:rPr>
                <w:rFonts w:ascii="Times New Roman" w:hAnsi="Times New Roman"/>
                <w:sz w:val="14"/>
                <w:szCs w:val="14"/>
                <w:lang w:val="uk-UA"/>
              </w:rPr>
              <w:t>30.12.22</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5" w:right="-121" w:hanging="0"/>
              <w:jc w:val="center"/>
              <w:rPr>
                <w:rFonts w:ascii="Times New Roman" w:hAnsi="Times New Roman"/>
                <w:sz w:val="14"/>
                <w:szCs w:val="14"/>
                <w:lang w:val="uk-UA"/>
              </w:rPr>
            </w:pPr>
            <w:r>
              <w:rPr>
                <w:rFonts w:ascii="Times New Roman" w:hAnsi="Times New Roman"/>
                <w:sz w:val="14"/>
                <w:szCs w:val="14"/>
                <w:lang w:val="uk-UA"/>
              </w:rPr>
              <w:t>30.06.24</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04" w:hanging="0"/>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Відповідно до наказу Національної поліції України від 31.10.2022 № 767 «Про організацію проведення в центральному органі управління поліції суцільної інвентаризації активів та зобов’язань станом на 01 листопада 2022 року» з 01 по 22 листопада 2022 року в центральному органі управління поліції проведено суцільну інвентаризації активів та зобов’язань.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Також, згідно наказу Національної поліції України від 31.10.2022 № 766 «Про організацію суцільної інвентаризації активів та зобов’язань у територіальних (у тому числі міжрегіональних) органах Національної поліції України та установах, які належать до сфери управління Національної поліції України» з 01 по 22 листопада 2022 року проведена суцільної інвентаризації активів та зобов’язань органу поліції, з використанням пристроїв для зчитування бар-кодів  та застосуванням комп’ютерної програми «Електронна інвентаризація «МІА».</w:t>
            </w:r>
          </w:p>
          <w:p>
            <w:pPr>
              <w:pStyle w:val="Normal"/>
              <w:widowControl w:val="false"/>
              <w:spacing w:lineRule="auto" w:line="240" w:before="0" w:after="0"/>
              <w:jc w:val="both"/>
              <w:rPr>
                <w:rFonts w:ascii="Times New Roman" w:hAnsi="Times New Roman"/>
                <w:sz w:val="14"/>
                <w:szCs w:val="14"/>
                <w:lang w:val="uk-UA" w:eastAsia="ru-RU"/>
              </w:rPr>
            </w:pPr>
            <w:r>
              <w:rPr>
                <w:rFonts w:ascii="Times New Roman" w:hAnsi="Times New Roman"/>
                <w:spacing w:val="-8"/>
                <w:sz w:val="14"/>
                <w:szCs w:val="14"/>
                <w:shd w:fill="FFFFFF" w:val="clear"/>
                <w:lang w:val="uk-UA" w:eastAsia="ru-RU"/>
              </w:rPr>
              <w:t>Відповідні комісії у необхідному складі створені (наказ НПУ від 15.06.2023  №  512).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Відповідно до наказу Національної поліції України від 24.10.2023 № 968 «Про організацію суцільної інвентаризації активів та зобов’язань у територіальних (у тому числі міжрегіональних) органах Національної поліції України та установах, які належать до сфери управління Національної поліції України» з 01 по 22 листопада 2023 року проведено суцільну інвентаризації активів та зобов’язань. Результати проведення інвентаризації відображені у доповідній записці ДУМ НПУ на Голову НПУ № СЕД-12911-2023 від 18.12.2023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Наказом Національної поліції України від 13 липня 2023 року № 627 «Про питання щодо організації списання транспортних засобів Національної поліції України»         (зі змінами, унесеними наказом Національної поліції України від 27.05.2024 № 570) утворена комісія з розгляду питань щодо списання транспортних засобів Національної поліції України та затверджено її склад</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Для оформлення документів на списання майна утворюється комісія із списання майна, головою якої, є заступник керівника суб'єкта господарювання, а членами - головний бухгалтер або його заступник, працівники інженерних, технічних, технологічних, будівельних, обліково-економічних та інших служб суб'єкта господарювання, а також залучені за вимогою суб'єкта управління його представники та інші фахівці, для встановлення факту непридатності використання майна, що перебуває під наглядом державних інспекцій. Суб'єкт господарювання залучає для участі в роботі комісії представника відповідної інспекції або її територіального органу (у разі створення), який підписує акт про списання або передає комісії свій письмовий висновок, що додається до акту. Крім цього, списання матеріальних цінностей, які віднесені до номенклатури товарів (матеріально-технічних ресурсів)  озброєння та спеціальні засоби здійснюються у порядку визначеному розділом IXX Інструкції з організації забезпечення, зберігання та експлуатації озброєння в НПУ, затвердженої наказом МВС України від 11.10.2018 № 828</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(далі-Порядок).</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З метою недопущення порушень вимог законодавства, зокрема під час списання державного майна, однострою та озброєння, до підрозділів логістики та матеріально-технічного забезпечення Головних управлінь НПУ  надісланий вище зазначений перелік нормативно-правових актів (лист ДУМ від 30.12.2022 № 8703/31/01-2022).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34" w:hanging="0"/>
              <w:jc w:val="both"/>
              <w:rPr>
                <w:rStyle w:val="Hyperlink"/>
                <w:rFonts w:ascii="Times New Roman" w:hAnsi="Times New Roman"/>
                <w:color w:val="auto"/>
                <w:spacing w:val="-8"/>
                <w:sz w:val="14"/>
                <w:szCs w:val="14"/>
                <w:shd w:fill="FFFFFF" w:val="clear"/>
                <w:lang w:eastAsia="ru-RU"/>
              </w:rPr>
            </w:pPr>
            <w:r>
              <w:rPr>
                <w:rFonts w:ascii="Times New Roman" w:hAnsi="Times New Roman"/>
                <w:sz w:val="14"/>
                <w:szCs w:val="14"/>
                <w:lang w:val="uk-UA"/>
              </w:rPr>
              <w:t>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т.ч. під час проведення інструктажів перед несенням служби.</w:t>
            </w:r>
            <w:r>
              <w:rPr>
                <w:lang w:val="uk-UA"/>
              </w:rPr>
              <w:t xml:space="preserve"> </w:t>
            </w:r>
            <w:hyperlink r:id="rId10">
              <w:r>
                <w:rPr>
                  <w:rStyle w:val="Hyperlink"/>
                  <w:rFonts w:ascii="Times New Roman" w:hAnsi="Times New Roman"/>
                  <w:color w:val="000000"/>
                  <w:spacing w:val="-8"/>
                  <w:sz w:val="14"/>
                  <w:szCs w:val="14"/>
                  <w:shd w:fill="FFFFFF" w:val="clear"/>
                  <w:lang w:eastAsia="ru-RU"/>
                </w:rPr>
                <w:t>https://www.npu.gov.ua/pro-policiyu/zapobigannya-i-protidiya-korupciyi/vidpovidalnist-za-korupcijni-abo-povyazani-z-korupciyeyu-pravoporushennya</w:t>
              </w:r>
            </w:hyperlink>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порядку збереження ТМЦ, його списанню                                                   та у подальшому дотримання законності при проведенні службових розслідувань                                            за результатами проведених інвентаризацій- запроваджено (доповідна начальника ДУМ                                на Голову НПУ № 18412-2024 від 28.02.2024  «Про опрацювання матеріалів службових розслідувань за результатами інвентаризацій                      в органах та установах поліції».</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bl>
    <w:p>
      <w:pPr>
        <w:pStyle w:val="Normal"/>
        <w:rPr>
          <w:lang w:val="uk-UA"/>
        </w:rPr>
      </w:pPr>
      <w:r>
        <w:rPr>
          <w:lang w:val="uk-UA"/>
        </w:rPr>
      </w:r>
    </w:p>
    <w:tbl>
      <w:tblPr>
        <w:tblW w:w="5000" w:type="pct"/>
        <w:jc w:val="left"/>
        <w:tblInd w:w="-594" w:type="dxa"/>
        <w:tblLayout w:type="fixed"/>
        <w:tblCellMar>
          <w:top w:w="0" w:type="dxa"/>
          <w:left w:w="108" w:type="dxa"/>
          <w:bottom w:w="0" w:type="dxa"/>
          <w:right w:w="108" w:type="dxa"/>
        </w:tblCellMar>
        <w:tblLook w:val="00a0" w:noHBand="0" w:noVBand="0" w:firstColumn="1" w:lastRow="0" w:lastColumn="0" w:firstRow="1"/>
      </w:tblPr>
      <w:tblGrid>
        <w:gridCol w:w="276"/>
        <w:gridCol w:w="1084"/>
        <w:gridCol w:w="1246"/>
        <w:gridCol w:w="1084"/>
        <w:gridCol w:w="1091"/>
        <w:gridCol w:w="1170"/>
        <w:gridCol w:w="267"/>
        <w:gridCol w:w="278"/>
        <w:gridCol w:w="279"/>
        <w:gridCol w:w="1892"/>
        <w:gridCol w:w="545"/>
        <w:gridCol w:w="427"/>
        <w:gridCol w:w="814"/>
        <w:gridCol w:w="1056"/>
        <w:gridCol w:w="530"/>
        <w:gridCol w:w="545"/>
        <w:gridCol w:w="2553"/>
      </w:tblGrid>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27</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VIII.   Управління матеріальними ресурсами та фінансового забезпечення</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 неправомірні дії працівників поліції під час використання службових транспортних засобів всупереч інтересам служби або в інтересах третіх осіб, з метою отримання неправомірної вигоди</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Можливість використання службового транспорту працівником поліції не за призначенням,  у особистих цілях або в інтересах третіх осіб, з метою отримання неправомірної вигоди</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1.Недостатні існуючі методи контролю за експлуатацією службового транспорту у поліції</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 Можлива недоброчесність працівника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1.Регламентована  процедура порядку використання  і зберігання службового транспорту у поліції</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2.Встановлення контролю з боку безпосередніх керівників (осіб визначених керівником) щодо недопущення використання службових автомобілів працівниками поліції у особистих цілях, з використанням функції виведення GPS трекерів в онлайн режимі на комп’ютер чи мобільний телефон</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3.Попереджати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ЦА</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ЦА</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Забезпечено контроль за переміщенням службового транспорту шляхом використання GPS трекерів</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здійснено</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5" w:right="-119"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метою забезпечення ефективного контролю за використанням службових транспортних засобів і недопущення зловживань в умовах воєнного стану,  до працівників поліції повторно доведено Порядок використання  і зберігання транспортних засобів Національної поліції України затвердженого наказом МВС України від  07.09.2017 №757. Стан використання працівниками поліції службових транспортних засобів перебуває на постійному контролі керівництва підрозділів поліції. щоденно здійснюється перевірка порядку використання і зберігання службових транспортних засобів за місцем дислокації, у місцях зберігання транспортних засобів (позагаражне, позавідомче) та проведення технічного обслуговування і ремонту, на лінії (маршрути, пости, віддалені пункти), а також щодо недопущення використання службових автомобілів працівниками поліції в особистих цілях.</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 ході проведення внутрішніх аудитів здійснюється дослідження з використанням даних встановлених на окремих службових автомобілях GPS трекерів щодо питання недопущення використання службових автомобілів працівниками поліції у особистих цілях.</w:t>
            </w:r>
          </w:p>
          <w:p>
            <w:pPr>
              <w:pStyle w:val="Normal"/>
              <w:widowControl w:val="false"/>
              <w:tabs>
                <w:tab w:val="clear" w:pos="708"/>
                <w:tab w:val="left" w:pos="2224" w:leader="none"/>
              </w:tabs>
              <w:spacing w:lineRule="auto" w:line="240" w:before="0" w:after="0"/>
              <w:ind w:right="135" w:hanging="0"/>
              <w:jc w:val="both"/>
              <w:rPr>
                <w:rFonts w:ascii="Times New Roman" w:hAnsi="Times New Roman" w:eastAsia="Cambria Math"/>
                <w:kern w:val="2"/>
                <w:sz w:val="14"/>
                <w:szCs w:val="14"/>
                <w:lang w:val="uk-UA" w:eastAsia="ru-RU"/>
              </w:rPr>
            </w:pPr>
            <w:r>
              <w:rPr>
                <w:rFonts w:ascii="Times New Roman" w:hAnsi="Times New Roman"/>
                <w:spacing w:val="-8"/>
                <w:sz w:val="14"/>
                <w:szCs w:val="14"/>
                <w:shd w:fill="FFFFFF" w:val="clear"/>
                <w:lang w:val="uk-UA" w:eastAsia="ru-RU"/>
              </w:rPr>
              <w:t xml:space="preserve">З метою встановлення додаткового    контролю з боку безпосередніх керівників (осіб визначених керівником) щодо недопущення використання службових автомобілів працівниками поліції                    у особистих цілях, </w:t>
            </w:r>
            <w:r>
              <w:rPr>
                <w:rFonts w:eastAsia="Cambria Math" w:ascii="Times New Roman" w:hAnsi="Times New Roman"/>
                <w:kern w:val="2"/>
                <w:sz w:val="14"/>
                <w:szCs w:val="14"/>
                <w:lang w:val="uk-UA" w:eastAsia="ru-RU"/>
              </w:rPr>
              <w:t>Головою НПУ надано відповідне доручення керівникам підрозділів поліції (№ СЕД-8994/01-2023 від 05.12.2023).</w:t>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34" w:hanging="0"/>
              <w:jc w:val="both"/>
              <w:rPr>
                <w:rStyle w:val="Hyperlink"/>
                <w:rFonts w:ascii="Times New Roman" w:hAnsi="Times New Roman"/>
                <w:color w:val="auto"/>
                <w:spacing w:val="-8"/>
                <w:sz w:val="14"/>
                <w:szCs w:val="14"/>
                <w:shd w:fill="FFFFFF" w:val="clear"/>
                <w:lang w:eastAsia="ru-RU"/>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 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т.ч. під час проведення інструктажів перед несенням служби.</w:t>
            </w:r>
            <w:r>
              <w:rPr>
                <w:lang w:val="uk-UA"/>
              </w:rPr>
              <w:t xml:space="preserve"> </w:t>
            </w:r>
            <w:hyperlink r:id="rId11">
              <w:r>
                <w:rPr>
                  <w:rStyle w:val="Hyperlink"/>
                  <w:rFonts w:ascii="Times New Roman" w:hAnsi="Times New Roman"/>
                  <w:color w:val="000000"/>
                  <w:spacing w:val="-8"/>
                  <w:sz w:val="14"/>
                  <w:szCs w:val="14"/>
                  <w:shd w:fill="FFFFFF" w:val="clear"/>
                  <w:lang w:eastAsia="ru-RU"/>
                </w:rPr>
                <w:t>https://www.npu.gov.ua/pro-policiyu/zapobigannya-i-protidiya-korupciyi/vidpovidalnist-za-korupcijni-abo-povyazani-z-korupciyeyu-pravoporushennya</w:t>
              </w:r>
            </w:hyperlink>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28</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VIII.   Управління матеріальними ресурсами та фінансового забезпечення</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Можливі зловживання своїм службовим становищем посадовими особами поліції при отриманні та використанні благодійної допомоги</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Можливі порушення  посадовими особами поліції вимог законодавства щодо отримання, оприбуткування та постановки на баланс майна чи коштів отриманих органом у вигляді  благодійної допомоги та її подальшого можливого використання не за призначенням</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1.Недостатні існуючі методи внутрішнього контролю за порядком отримання та використання благодійної допомоги.</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2.Недостатня врегульованість внутрішніх організаційно-нормативних актів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 Можлива недоброчесність посадових осіб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1.Регламентована  процедура порядку отримання, оприбуткування  майна чи коштів отриманих органом у вигляді  благодійної допомоги, згідно Закону України «Про благодійну діяльність та благодійні організації»</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 xml:space="preserve">2 </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1.Розробка методичних рекомендацій</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щодо порядку отримання, оприбуткування та постановки на баланс майна чи коштів отриманих органом (підрозділом поліції) у вигляді  благодійної допомоги з дотриманням  обмежень та заборон, визначених статтею 54 Закону України «Про запобігання корупції»</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2.Розробка порядку створення та діяльності відповідних комісій  по прийняттю на баланс та подальшого  цільового використання благодійної допомоги, із обов’язковим включенням до неї працівника УВБ, УФЗБО, працівника уповноваженого підрозділу (уповноважену особу) з питань запобігання та виявлення корупції та представника громадськості (за згодою)</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3.Підготовка наказу про організацію проведення перевірок дотримання вимог статті 54 Закону України «Про запобігання корупції» в частині належного віднесення допомоги, як благодійної, а не іншої (наприклад спонсорської) із визначенням виконавців та термінів таких перевірок</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30.08.22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30.08.22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30.08.22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 ДФЗБ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ПД УЗК 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ЦОП ДФЗБ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 ПД УЗК 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 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здійснено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Порядок створення</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комісій</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розроблено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Підготовлено відповідний наказ</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Попереджено працівників про відповідальність за порушення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5" w:right="-91" w:hanging="0"/>
              <w:jc w:val="center"/>
              <w:rPr>
                <w:rFonts w:ascii="Times New Roman" w:hAnsi="Times New Roman"/>
                <w:sz w:val="14"/>
                <w:szCs w:val="14"/>
                <w:lang w:val="uk-UA"/>
              </w:rPr>
            </w:pPr>
            <w:r>
              <w:rPr>
                <w:rFonts w:ascii="Times New Roman" w:hAnsi="Times New Roman"/>
                <w:sz w:val="14"/>
                <w:szCs w:val="14"/>
                <w:lang w:val="uk-UA"/>
              </w:rPr>
              <w:t>17.04.23</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8" w:hanging="0"/>
              <w:jc w:val="center"/>
              <w:rPr>
                <w:rFonts w:ascii="Times New Roman" w:hAnsi="Times New Roman"/>
                <w:sz w:val="14"/>
                <w:szCs w:val="14"/>
                <w:lang w:val="uk-UA"/>
              </w:rPr>
            </w:pPr>
            <w:r>
              <w:rPr>
                <w:rFonts w:ascii="Times New Roman" w:hAnsi="Times New Roman"/>
                <w:sz w:val="14"/>
                <w:szCs w:val="14"/>
                <w:lang w:val="uk-UA"/>
              </w:rPr>
              <w:t>24.05.23</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8" w:hanging="0"/>
              <w:jc w:val="center"/>
              <w:rPr>
                <w:rFonts w:ascii="Times New Roman" w:hAnsi="Times New Roman"/>
                <w:sz w:val="14"/>
                <w:szCs w:val="14"/>
                <w:lang w:val="uk-UA"/>
              </w:rPr>
            </w:pPr>
            <w:r>
              <w:rPr>
                <w:rFonts w:ascii="Times New Roman" w:hAnsi="Times New Roman"/>
                <w:sz w:val="14"/>
                <w:szCs w:val="14"/>
                <w:lang w:val="uk-UA"/>
              </w:rPr>
              <w:t>31.03.23</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8" w:right="-104"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1" w:right="-104" w:hanging="0"/>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На рівні центрального органу управління поліцією наказом ЦОП НП України від 04.10.2022 № 140 «Про створення комісії з питань надходження благодійної допомоги» до складу вказаної комісії включено працівника ДВБ.</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На територіальному рівні листом ДВБ від 16.08.2022 № 8974/42-10/03-22 ініційовано включення працівників служби до складу комісій по прийняттю на баланс та подальшого цільового використання благодійної допомоги.         </w:t>
            </w:r>
            <w:r>
              <w:rPr>
                <w:rFonts w:ascii="Times New Roman" w:hAnsi="Times New Roman"/>
                <w:bCs/>
                <w:sz w:val="14"/>
                <w:szCs w:val="14"/>
                <w:lang w:val="uk-UA"/>
              </w:rPr>
              <w:t>Відповідні методичні рекомендації розроблені (доповідна записка УЗК НПУ від 17.04.2023 № 13366)</w:t>
            </w:r>
          </w:p>
          <w:p>
            <w:pPr>
              <w:pStyle w:val="Normal"/>
              <w:widowControl w:val="false"/>
              <w:tabs>
                <w:tab w:val="clear" w:pos="708"/>
                <w:tab w:val="left" w:pos="567" w:leader="none"/>
              </w:tabs>
              <w:spacing w:lineRule="auto" w:line="240" w:before="0" w:after="0"/>
              <w:jc w:val="both"/>
              <w:rPr>
                <w:rFonts w:ascii="Times New Roman" w:hAnsi="Times New Roman"/>
                <w:bCs/>
                <w:sz w:val="14"/>
                <w:szCs w:val="14"/>
                <w:lang w:val="uk-UA"/>
              </w:rPr>
            </w:pPr>
            <w:r>
              <w:rPr>
                <w:rFonts w:ascii="Times New Roman" w:hAnsi="Times New Roman"/>
                <w:bCs/>
                <w:sz w:val="14"/>
                <w:szCs w:val="14"/>
                <w:lang w:val="uk-UA"/>
              </w:rPr>
              <w:t>Працівниками УЗК підготовлена та направлена до підрозділів НПУ оновлені методичні рекомендації в частині дотримання заборон, передбачених статтею 54 Закону України «Про запобігання корупції» в умовах дії правового режиму воєнного стану (доповідна записка УЗК НПУ від 11 серпня 2023 року № 29209)</w:t>
            </w:r>
          </w:p>
          <w:p>
            <w:pPr>
              <w:pStyle w:val="Normal"/>
              <w:widowControl w:val="false"/>
              <w:tabs>
                <w:tab w:val="clear" w:pos="708"/>
                <w:tab w:val="left" w:pos="567" w:leader="none"/>
              </w:tabs>
              <w:spacing w:lineRule="auto" w:line="240" w:before="0" w:after="0"/>
              <w:jc w:val="both"/>
              <w:rPr>
                <w:rFonts w:ascii="Times New Roman" w:hAnsi="Times New Roman"/>
                <w:bCs/>
                <w:sz w:val="14"/>
                <w:szCs w:val="14"/>
                <w:lang w:val="uk-UA"/>
              </w:rPr>
            </w:pPr>
            <w:r>
              <w:rPr>
                <w:rFonts w:ascii="Times New Roman" w:hAnsi="Times New Roman"/>
                <w:bCs/>
                <w:sz w:val="14"/>
                <w:szCs w:val="14"/>
                <w:lang w:val="uk-UA"/>
              </w:rPr>
            </w:r>
          </w:p>
          <w:p>
            <w:pPr>
              <w:pStyle w:val="Normal"/>
              <w:widowControl w:val="false"/>
              <w:tabs>
                <w:tab w:val="clear" w:pos="708"/>
                <w:tab w:val="left" w:pos="567" w:leader="none"/>
              </w:tabs>
              <w:spacing w:lineRule="auto" w:line="240" w:before="0" w:after="0"/>
              <w:jc w:val="both"/>
              <w:rPr>
                <w:rFonts w:ascii="Times New Roman" w:hAnsi="Times New Roman"/>
                <w:bCs/>
                <w:sz w:val="14"/>
                <w:szCs w:val="14"/>
                <w:lang w:val="uk-UA"/>
              </w:rPr>
            </w:pPr>
            <w:r>
              <w:rPr>
                <w:rFonts w:ascii="Times New Roman" w:hAnsi="Times New Roman"/>
                <w:bCs/>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Отримання та використання благодійної допомоги вирішується на засіданні комісії з питань надходження благодійної допомоги, із обов’язковим включенням до неї працівника УВБ, УФЗБО, працівника уповноваженого підрозділу (уповноважену особу) з питань запобігання та виявлення корупції, яка у своєї діяльності працює із безумовним виконанням вимог статті 54 Закону України «Про запобігання корупції».</w:t>
            </w:r>
          </w:p>
          <w:p>
            <w:pPr>
              <w:pStyle w:val="Normal"/>
              <w:widowControl w:val="false"/>
              <w:spacing w:lineRule="auto" w:line="240" w:before="0" w:after="0"/>
              <w:ind w:hanging="79"/>
              <w:jc w:val="both"/>
              <w:rPr>
                <w:rFonts w:ascii="Times New Roman" w:hAnsi="Times New Roman" w:eastAsia="Calibri"/>
                <w:sz w:val="14"/>
                <w:szCs w:val="14"/>
                <w:lang w:val="uk-UA" w:eastAsia="uk-UA"/>
              </w:rPr>
            </w:pPr>
            <w:r>
              <w:rPr>
                <w:rFonts w:ascii="Times New Roman" w:hAnsi="Times New Roman"/>
                <w:spacing w:val="-8"/>
                <w:sz w:val="14"/>
                <w:szCs w:val="14"/>
                <w:shd w:fill="FFFFFF" w:val="clear"/>
                <w:lang w:val="uk-UA" w:eastAsia="ru-RU"/>
              </w:rPr>
              <w:t xml:space="preserve">  </w:t>
            </w:r>
            <w:r>
              <w:rPr>
                <w:rFonts w:ascii="Times New Roman" w:hAnsi="Times New Roman"/>
                <w:spacing w:val="-8"/>
                <w:sz w:val="14"/>
                <w:szCs w:val="14"/>
                <w:shd w:fill="FFFFFF" w:val="clear"/>
                <w:lang w:val="uk-UA" w:eastAsia="ru-RU"/>
              </w:rPr>
              <w:t xml:space="preserve">Відповідна комісія створена (наказ ДУ «ЦОП НПУ» </w:t>
            </w:r>
            <w:r>
              <w:rPr>
                <w:rFonts w:ascii="Times New Roman" w:hAnsi="Times New Roman"/>
                <w:sz w:val="14"/>
                <w:szCs w:val="14"/>
                <w:lang w:val="uk-UA"/>
              </w:rPr>
              <w:t>від 24.05.2023 № 89 «Про створення комісії з питань надходження благодійної допомоги» зі змінами внесеними наказом від 20.09.2023                № 161.</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З метою проведення перевірок у т.ч. дотримання підрозділами поліції вимог статті 54 Закону України «Про запобігання корупції» підготовлений наказ НПУ від 20.12.2022 № 906 «Про організацію проведення перевірок з питань запобігання та виявлення корупції у 1 півріччі 2023 році» та від 28.06.2023 № 562 «Про організацію проведення перевірок з питань запобігання та виявлення корупції 2 півріччі 2023 року».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spacing w:lineRule="auto" w:line="240" w:before="0" w:after="0"/>
              <w:jc w:val="both"/>
              <w:rPr>
                <w:rStyle w:val="Hyperlink"/>
                <w:rFonts w:ascii="Times New Roman" w:hAnsi="Times New Roman"/>
                <w:color w:val="auto"/>
                <w:spacing w:val="-8"/>
                <w:sz w:val="14"/>
                <w:szCs w:val="14"/>
                <w:u w:val="none"/>
                <w:shd w:fill="FFFFFF" w:val="clear"/>
                <w:lang w:val="uk-UA" w:eastAsia="ru-RU"/>
              </w:rPr>
            </w:pPr>
            <w:r>
              <w:rPr>
                <w:rFonts w:ascii="Times New Roman" w:hAnsi="Times New Roman"/>
                <w:sz w:val="14"/>
                <w:szCs w:val="14"/>
                <w:lang w:val="uk-UA"/>
              </w:rPr>
              <w:t>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т.ч. під час проведення інструктажів перед несенням служби.</w:t>
            </w:r>
            <w:r>
              <w:rPr>
                <w:rStyle w:val="Hyperlink"/>
                <w:rFonts w:ascii="Times New Roman" w:hAnsi="Times New Roman"/>
                <w:color w:val="000000"/>
                <w:spacing w:val="-8"/>
                <w:sz w:val="14"/>
                <w:szCs w:val="14"/>
                <w:u w:val="none"/>
                <w:shd w:fill="FFFFFF" w:val="clear"/>
                <w:lang w:val="uk-UA" w:eastAsia="ru-RU"/>
              </w:rPr>
              <w:t xml:space="preserve"> </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поводженні із благодійною допомогою запроваджено (наказ НПУ від 08.09. 2023 № 835 «Про організацію роботи з отримання гуманітарної допомоги Національною поліцією України».</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29</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VIII.   Управління матеріальними ресурсами та фінансового забезпечення</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 зловживання своїм службовим становищем посадовими особами поліції при виплатах (нарахуванні) поліцейським грошових коштів за виконання завдань в умовах хвороби COVID - 19 (спричиненої корона- вірусом SARS-CoV-2).</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Можливість посадових осіб поліції, маючи приватний інтерес, шляхом надання недостовірних даних, безпідставно збільшувати/зменшувати грошові виплати поліцейським за виконання завдань по забезпеченню життєдіяльності населення на період дії карантину в умовах хвороби COVID - 19 (спричиненої корона- вірусом SARS-CoV-2)</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1.Дискреційні повноваження посадових осіб поліції при нарахуванні відповідних виплат</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2.Недостатні існуючі методи контролю за порядком нарахування відповідних виплат</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посадових осіб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1.Регламентована процедура оплати праці окремих категорій працівників.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2.Проводяться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right="-114" w:hanging="0"/>
              <w:rPr>
                <w:rFonts w:ascii="Times New Roman" w:hAnsi="Times New Roman"/>
                <w:sz w:val="14"/>
                <w:szCs w:val="14"/>
                <w:lang w:val="uk-UA"/>
              </w:rPr>
            </w:pPr>
            <w:r>
              <w:rPr>
                <w:rFonts w:ascii="Times New Roman" w:hAnsi="Times New Roman"/>
                <w:sz w:val="14"/>
                <w:szCs w:val="14"/>
                <w:lang w:val="uk-UA"/>
              </w:rPr>
              <w:t>1.Розробка методичних рекомендацій порядку документування фактичної кількості робочого часу поліцейського, витраченого ним на виконання службових обов’язків із забезпечення правопорядку і безпеки громадян в умовах безпосереднього контакту з населенням від час виконання своїх обов’язків відповідно до вимог постанови КМУ від 29.04.2020 №375 та формування даних щодо пропорційності відпрацьованого часу (виконання службових обов’язків) в умовах хвороби COVID - 19 (спричиненої корона- вірусом SARS-CoV-2)</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 Створення комісій у підрозділах поліції, з контролю відповідних виплат, з обов’язковим  включенням працівників ДВБ, та працівників уповноваженого підрозділу (уповноважену особу) з питань запобігання та виявлення корупції</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30.09.22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20.05.22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 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ЦА</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ДКЗ</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Відповідні комісії у необхідному складі  створені</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здійснено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0" w:hanging="0"/>
              <w:jc w:val="center"/>
              <w:rPr>
                <w:rFonts w:ascii="Times New Roman" w:hAnsi="Times New Roman"/>
                <w:sz w:val="14"/>
                <w:szCs w:val="14"/>
                <w:lang w:val="uk-UA"/>
              </w:rPr>
            </w:pPr>
            <w:r>
              <w:rPr>
                <w:rFonts w:ascii="Times New Roman" w:hAnsi="Times New Roman"/>
                <w:sz w:val="14"/>
                <w:szCs w:val="14"/>
                <w:lang w:val="uk-UA"/>
              </w:rPr>
              <w:t>Додатково попереджено працівників  про  відповідальність за порушення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ru-RU"/>
              </w:rPr>
              <w:t>3</w:t>
            </w:r>
            <w:r>
              <w:rPr>
                <w:rFonts w:ascii="Times New Roman" w:hAnsi="Times New Roman"/>
                <w:sz w:val="14"/>
                <w:szCs w:val="14"/>
              </w:rPr>
              <w:t>0</w:t>
            </w:r>
            <w:r>
              <w:rPr>
                <w:rFonts w:ascii="Times New Roman" w:hAnsi="Times New Roman"/>
                <w:sz w:val="14"/>
                <w:szCs w:val="14"/>
                <w:lang w:val="uk-UA"/>
              </w:rPr>
              <w:t>.0</w:t>
            </w:r>
            <w:r>
              <w:rPr>
                <w:rFonts w:ascii="Times New Roman" w:hAnsi="Times New Roman"/>
                <w:sz w:val="14"/>
                <w:szCs w:val="14"/>
              </w:rPr>
              <w:t>6</w:t>
            </w:r>
            <w:r>
              <w:rPr>
                <w:rFonts w:ascii="Times New Roman" w:hAnsi="Times New Roman"/>
                <w:sz w:val="14"/>
                <w:szCs w:val="14"/>
                <w:lang w:val="uk-UA"/>
              </w:rPr>
              <w:t>.24</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w:t>
            </w:r>
            <w:r>
              <w:rPr>
                <w:rFonts w:ascii="Times New Roman" w:hAnsi="Times New Roman"/>
                <w:sz w:val="14"/>
                <w:szCs w:val="14"/>
              </w:rPr>
              <w:t>0</w:t>
            </w:r>
            <w:r>
              <w:rPr>
                <w:rFonts w:ascii="Times New Roman" w:hAnsi="Times New Roman"/>
                <w:sz w:val="14"/>
                <w:szCs w:val="14"/>
                <w:lang w:val="uk-UA"/>
              </w:rPr>
              <w:t>.0</w:t>
            </w:r>
            <w:r>
              <w:rPr>
                <w:rFonts w:ascii="Times New Roman" w:hAnsi="Times New Roman"/>
                <w:sz w:val="14"/>
                <w:szCs w:val="14"/>
              </w:rPr>
              <w:t>6</w:t>
            </w:r>
            <w:r>
              <w:rPr>
                <w:rFonts w:ascii="Times New Roman" w:hAnsi="Times New Roman"/>
                <w:sz w:val="14"/>
                <w:szCs w:val="14"/>
                <w:lang w:val="uk-UA"/>
              </w:rPr>
              <w:t>.24</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t>не 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t>не 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 171 у надзвичайний (позаплановий) режим, та враховуючи відсутність фінансування та фактичних виплат (нарахувань) поліцейським грошових коштів за виконання завдань в умовах хвороби COVID - 19 (спричиненої корона- вірусом SARS-CoV-2) - відповідні методичні рекомендації не розроблено.</w:t>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 171 у надзвичайний (позаплановий) режим, та враховуючи відсутність фінансування та фактичних виплат (нарахувань) поліцейським грошових коштів за виконання завдань в умовах хвороби COVID - 19 (спричиненої корона- вірусом SARS-CoV-2) - відповідні комісії не створенні.</w:t>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Style w:val="Hyperlink"/>
                <w:rFonts w:ascii="Times New Roman" w:hAnsi="Times New Roman"/>
                <w:color w:val="auto"/>
                <w:spacing w:val="-8"/>
                <w:sz w:val="14"/>
                <w:szCs w:val="14"/>
                <w:u w:val="none"/>
                <w:shd w:fill="FFFFFF" w:val="clear"/>
                <w:lang w:val="uk-UA" w:eastAsia="ru-RU"/>
              </w:rPr>
            </w:pPr>
            <w:r>
              <w:rPr>
                <w:rFonts w:ascii="Times New Roman" w:hAnsi="Times New Roman"/>
                <w:sz w:val="14"/>
                <w:szCs w:val="14"/>
                <w:lang w:val="uk-UA"/>
              </w:rPr>
              <w:t>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т.ч. під час проведення інструктажів перед несенням служби.</w:t>
            </w:r>
            <w:r>
              <w:rPr>
                <w:rStyle w:val="Hyperlink"/>
                <w:rFonts w:ascii="Times New Roman" w:hAnsi="Times New Roman"/>
                <w:color w:val="000000"/>
                <w:spacing w:val="-8"/>
                <w:sz w:val="14"/>
                <w:szCs w:val="14"/>
                <w:u w:val="none"/>
                <w:shd w:fill="FFFFFF" w:val="clear"/>
                <w:lang w:val="uk-UA" w:eastAsia="ru-RU"/>
              </w:rPr>
              <w:t xml:space="preserve"> </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30</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IX.  Організація правової роботи та внутрішнього аудиту у Національній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отримання працівником внутрішнього аудиту неправомірної вигоди під час виконання  завдань пов’язаних з</w:t>
            </w:r>
          </w:p>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проведенням</w:t>
            </w:r>
          </w:p>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аудитів підрозділів</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З метою можливого отримання неправомірної вигоди, працівник внутрішнього аудиту приховує та не вказує у відповідному акті фінансові порушення,  виявленні ним під час проведення перевірки підрозділу</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ефективність системи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працівників внутрішнього аудиту</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1.Регламентована процедура проведення внутрішнього аудиту</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1.Запровадження з боку керівництва УВА механізму подвійного контролю за діями працівників аудиту, які здійснюють перевірки у підрозділах</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 З метою встановлення об’єктивності та неупередженості раніш проведених аудитів у підрозділах, включати до</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плану проведення перевірок пункти про обов’язкову вибіркову перевірку</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питань, які розглядались при минулих перевірках</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 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30.05.22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Згідно  графіка</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УВА</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УВА</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УВА</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Механізм запроваджено</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Підготовлені плани із включенням відповідних</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пунктів</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t>30.05.22</w:t>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30.12.22</w:t>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Відповідний механізм запроваджено Протоколом наради керівництва УВА НПУ від 16 червня 2022 року № 3 на рівні керівника підрозділу внутрішнього аудиту  шляхом здійснення:</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-аналізу завантаженості працівників підрозділу внутрішнього аудиту та забезпечення її рівномірності;</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контролю за своєчасністю та повнотою виконання підрозділом внутрішнього аудиту планів діяльності з внутрішнього аудиту;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визначення відповідальних осіб за здійснення постійного моніторингу (при виконанні конкретних аудиторських завдань) та делегування їм відповідних повноважень. Це стосується призначення керівника аудиторської групи (з урахуванням професійних здібностей, знань, умінь та навичок) та делегування йому повноважень нагляду за виконанням відповідним працівником функцій керівника аудиторської групи, надання методологічної та консультаційної підтримки такому керівникові групи;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опитування працівників підрозділу внутрішнього аудиту щодо наявності конфлікту інтересів перед визначенням складу аудиторської групи;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обговорення з керівником аудиторської групи проблемних питань, що виникають при проведенні досліджень, та їх вирішення;</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систематичне (після завершення кожного етапу дослідження) заслуховування аудиторських груп (окремого працівника підрозділу внутрішнього аудиту) про стан виконання аудиторських завдань тощо.</w:t>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До програм проведення планових внутрішніх аудитів, які здійснюються працівниками УВА НПУ, систематично включаються пункти про обов’язкову вибіркову перевірку аналогічних питань, які вже розглядались при минулих дослідженнях. Орієнтовні обсяги досліджень визначаються Операційним планом діяльності з внутрішнього аудиту на 2022 рік, затвердженим Головою Національної поліції України 22 грудня 2021 року і оприлюдненим на офіційному веб-сайті НПУ, а також наказом Національної поліції України від 29.06.2022 № 454 «Про розгляд Звіту про результати аудиту ефективності використання бюджетних коштів, виділених на розвиток Національної поліції України»</w:t>
            </w:r>
          </w:p>
          <w:p>
            <w:pPr>
              <w:pStyle w:val="Normal"/>
              <w:widowControl w:val="false"/>
              <w:spacing w:lineRule="auto" w:line="240" w:before="0" w:after="0"/>
              <w:ind w:left="8" w:hanging="0"/>
              <w:jc w:val="both"/>
              <w:rPr>
                <w:rFonts w:ascii="Times New Roman" w:hAnsi="Times New Roman"/>
                <w:spacing w:val="-8"/>
                <w:sz w:val="14"/>
                <w:szCs w:val="14"/>
                <w:shd w:fill="FFFFFF" w:val="clear"/>
                <w:lang w:val="uk-UA" w:eastAsia="ru-RU"/>
              </w:rPr>
            </w:pPr>
            <w:r>
              <w:rPr>
                <w:rFonts w:ascii="Times New Roman" w:hAnsi="Times New Roman"/>
                <w:sz w:val="14"/>
                <w:szCs w:val="14"/>
                <w:lang w:val="uk-UA"/>
              </w:rPr>
              <w:t>З метою орієнтовного планування діяльності внутрішнього аудита, формування стратегічних цілей та завдань, визначення об’єктів, які будуть досліджуватися впродовж трьох років, за результатами проведення (актуалізації) оцінки ризиків та аналізу пропозицій відповідальних за діяльність осіб, а також з урахуванням результатів внутрішніх аудитів, проведених за останні три роки, у НПУ створений стратегічний план діяльності з внутрішнього аудиту на 2022 – 2024 роки (із змінами), який затверджений Головою НПУ 26.12.2022, який</w:t>
            </w:r>
            <w:r>
              <w:rPr>
                <w:rFonts w:ascii="Times New Roman" w:hAnsi="Times New Roman"/>
                <w:spacing w:val="-8"/>
                <w:sz w:val="14"/>
                <w:szCs w:val="14"/>
                <w:shd w:fill="FFFFFF" w:val="clear"/>
                <w:lang w:val="uk-UA" w:eastAsia="ru-RU"/>
              </w:rPr>
              <w:t xml:space="preserve"> оприлюднений на офіційному веб-сайті НПУ.</w:t>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spacing w:lineRule="auto" w:line="240" w:before="0" w:after="0"/>
              <w:jc w:val="both"/>
              <w:rPr>
                <w:rStyle w:val="Hyperlink"/>
                <w:rFonts w:ascii="Times New Roman" w:hAnsi="Times New Roman"/>
                <w:color w:val="auto"/>
                <w:spacing w:val="-8"/>
                <w:sz w:val="14"/>
                <w:szCs w:val="14"/>
                <w:shd w:fill="FFFFFF" w:val="clear"/>
                <w:lang w:eastAsia="ru-RU"/>
              </w:rPr>
            </w:pPr>
            <w:r>
              <w:rPr>
                <w:rFonts w:ascii="Times New Roman" w:hAnsi="Times New Roman"/>
                <w:sz w:val="14"/>
                <w:szCs w:val="14"/>
                <w:lang w:val="uk-UA"/>
              </w:rPr>
              <w:t>Протягом 1 кварталу 2024 року проведено близько110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т.ч., Європейського суду з прав людини.</w:t>
            </w:r>
            <w:r>
              <w:rPr>
                <w:lang w:val="uk-UA"/>
              </w:rPr>
              <w:t xml:space="preserve"> </w:t>
            </w:r>
            <w:hyperlink r:id="rId12">
              <w:r>
                <w:rPr>
                  <w:rStyle w:val="Hyperlink"/>
                  <w:rFonts w:ascii="Times New Roman" w:hAnsi="Times New Roman"/>
                  <w:color w:val="000000"/>
                  <w:spacing w:val="-8"/>
                  <w:sz w:val="14"/>
                  <w:szCs w:val="14"/>
                  <w:shd w:fill="FFFFFF" w:val="clear"/>
                  <w:lang w:eastAsia="ru-RU"/>
                </w:rPr>
                <w:t>https://www.npu.gov.ua/pro-policiyu/zapobigannya-i-protidiya-korupciyi/vidpovidalnist-za-korupcijni-abo-povyazani-z-korupciyeyu-pravoporushennya</w:t>
              </w:r>
            </w:hyperlink>
          </w:p>
          <w:p>
            <w:pPr>
              <w:pStyle w:val="Normal"/>
              <w:widowControl w:val="false"/>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jc w:val="both"/>
              <w:rPr>
                <w:rFonts w:ascii="Times New Roman" w:hAnsi="Times New Roman"/>
                <w:spacing w:val="-8"/>
                <w:sz w:val="14"/>
                <w:szCs w:val="14"/>
                <w:u w:val="single"/>
                <w:shd w:fill="FFFFFF" w:val="clear"/>
                <w:lang w:val="uk-UA" w:eastAsia="ru-RU"/>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31</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IX.  Організація правової роботи та внутрішнього аудиту у Національній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Припустима недоброчесність посадових осіб поліції, які здійснюють представництво інтересів поліції у судах</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 xml:space="preserve">Посадова особа поліції, яка здійснює  представництво інтересів поліції у суді, може  вимагати, прийняти пропозицію, обіцянку або одержати неправомірну вигоду від зацікавленої особи за невжиття/неналежне вжиття  відповідних заходів (зволікання із підготовкою необхідних матеріалів, ненадання до суду всіх необхідних доказів у справах, займання неактивної процесуальної позиції у судах тощо) під час розгляду справ у судах та при оскарженні судових рішень чи за необґрунтовану відмову від оскарження  </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ефективність системи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посадової особи поліції</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3.Недотримання посадовими осіб поліції під вимог нормативно-правових актів та  розпорядчих документів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1.Регламентація процедури представництва інтересів  у судах. та подальшого оскарження судових рішень</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1.Участь за рішенням керівництва ПД у пріоритетних судових справах не менше двох працівників</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2.Проведення моніторингу прийнятих судових рішень, на предмет виявлення особистої зацікавленості             (можливого приватного інтересу) у представників поліції, які здійснювали представництво інтересів поліції у судах</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3.Запровадження додаткових заходів контролю керівництвом ПД за підготовкою та поданням процесуальних документів та належним представництвом інтересів у суді</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Згідно  графіка</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Згідно  графіка</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ПД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ПД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ПД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ПД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Відповідні контрольні заходи проведено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Моніторинг судових рішень проведено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Запроваджено додаткові заходи контролю</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здійснено</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6" w:right="-151"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метою усунення корупційного ризику, пов’язаного з припустимою недоброчесністю посадових осіб поліції, які здійснюють представництво інтересів поліції у судах, керівництвом ПД проведено контрольні заходи, які виразились у тому, що у пріоритетних (резонансних) справах представництво здійснюється двома працівниками. 02.03.2022 Рада суддів України видала Рекомендації щодо роботи судів в умовах воєнного стану, з 24.02.2022 судочинство здійснюється переважно у формі письмового провадження, без виклику.</w:t>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Керівництвом ПД протягом звітного періоду постійно здійснюється моніторинг прийнятих судами рішень у справах, учасниками в яких є керівництво НПУ або центральний орган управління поліції, на предмет виявлення особистої зацікавленості (можливого приватного інтересу) представників, що здійснювали представництво інтересів поліції у справах. Так, станом на 25.12.2022 у провадженні працівників відділу представників в юрисдикційних органах та судово-аналітичної роботи перебуває 520 судових справ. За результатами моніторингу випадків особистої зацікавленості (можливого приватного інтересу) представників, що здійснювали представництво інтересів поліції у справах, виявлено не було. Також, Головою НПУ встановлені обмеження процесуальних прав представників щодо здійснення представництва у судових справах, зокрема визначено, що вони діють у судах України без окремого доручення керівника з правами, що надані стороні, третій особі, з правом посвідчення копій документів, без права відмови, зміни, відкликання, визнання позову, відкликання та відмови від апеляційних, касаційних скарг, укладання мирової угоди.</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z w:val="14"/>
                <w:szCs w:val="14"/>
                <w:lang w:val="uk-UA"/>
              </w:rPr>
              <w:t>Прийняття будь-яких процесуальних рішень, що призводять до закінчення (припинення) розгляду справи здійснюється виключно Головою НПУ.</w:t>
            </w:r>
            <w:r>
              <w:rPr>
                <w:spacing w:val="-8"/>
                <w:shd w:fill="FFFFFF" w:val="clear"/>
                <w:lang w:val="ru-RU" w:eastAsia="ru-RU"/>
              </w:rPr>
              <w:t xml:space="preserve"> </w:t>
            </w:r>
            <w:r>
              <w:rPr>
                <w:rFonts w:ascii="Times New Roman" w:hAnsi="Times New Roman"/>
                <w:spacing w:val="-8"/>
                <w:sz w:val="14"/>
                <w:szCs w:val="14"/>
                <w:shd w:fill="FFFFFF" w:val="clear"/>
                <w:lang w:val="ru-RU" w:eastAsia="ru-RU"/>
              </w:rPr>
              <w:t>С</w:t>
            </w:r>
            <w:r>
              <w:rPr>
                <w:rFonts w:ascii="Times New Roman" w:hAnsi="Times New Roman"/>
                <w:spacing w:val="-8"/>
                <w:sz w:val="14"/>
                <w:szCs w:val="14"/>
                <w:shd w:fill="FFFFFF" w:val="clear"/>
                <w:lang w:val="uk-UA" w:eastAsia="ru-RU"/>
              </w:rPr>
              <w:t>таном  на 22.12.2023 у провадженні працівників управління фінансово-господарської діяльності та судово-аналітичної роботи перебуває 526 судових справ.</w:t>
            </w:r>
            <w:r>
              <w:rPr>
                <w:spacing w:val="-8"/>
                <w:shd w:fill="FFFFFF" w:val="clear"/>
                <w:lang w:val="ru-RU" w:eastAsia="ru-RU"/>
              </w:rPr>
              <w:t xml:space="preserve"> </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Станом  на 25.06.2024 у провадженні працівників управління фінансово-господарської діяльності та судово-аналітичної роботи перебуває 470 судових справ.</w:t>
            </w:r>
          </w:p>
          <w:p>
            <w:pPr>
              <w:pStyle w:val="Normal"/>
              <w:widowControl w:val="false"/>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З метою виявлення особистої зацікавленості            у представників поліції, які здійснювали представництво інтересів</w:t>
            </w:r>
            <w:r>
              <w:rPr>
                <w:spacing w:val="-8"/>
                <w:shd w:fill="FFFFFF" w:val="clear"/>
                <w:lang w:val="ru-RU" w:eastAsia="ru-RU"/>
              </w:rPr>
              <w:t xml:space="preserve"> </w:t>
            </w:r>
            <w:r>
              <w:rPr>
                <w:rFonts w:ascii="Times New Roman" w:hAnsi="Times New Roman"/>
                <w:spacing w:val="-8"/>
                <w:sz w:val="14"/>
                <w:szCs w:val="14"/>
                <w:shd w:fill="FFFFFF" w:val="clear"/>
                <w:lang w:val="uk-UA" w:eastAsia="ru-RU"/>
              </w:rPr>
              <w:t>поліції у судах,  Головою НПУ надано доручення ПД та  ДГІ, щопівроку  узагальнювати судову практику щодо скасування рішеннями судів, які набрали законної сили, наказів підрозділів поліції про застосування дисциплінарних стягнень до поліцейських через допущені під час службових розслідувань недоліки або порушення процедури їх проведення, на підставі чого здійснювати моніторинг якості таких службових розслідувань та поглиблене вивчення матеріалів, що стали підставою їх видання.  (доручення №17029/01-2024 від 23.02.2024)</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Керівництвом Правового департаменту проведено контрольні заходи, які виразились у тому, що у 2023 році в пріоритетних (резонансних) справах представництво здійснювалось двома працівниками.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Також, керівництвом Правового департаменту протягом звітного періоду постійно здійснювався моніторинг прийнятих судами судових рішень у справах, учасниками в яких є керівництво Національної поліції України або центральний орган управління поліції, на предмет виявлення особистої зацікавленості (можливого приватного інтересу) представників, що здійснювали представництво інтересів поліції у справах.</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 результатами моніторингу випадків особистої зацікавленості (можливого приватного інтересу) представників, що здійснювали представництво інтересів поліції у справах, виявлено не було.</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Також, Головою Національної поліції України встановлені обмеження процесуальних прав представників щодо здійснення представництва у судових справах, зокрема визначено, що вони діють у судах України без окремого доручення керівника з правами, що надані стороні, третій особі, з правом посвідчення копій документів, без права відмови, зміни, відкликання, визнання позову, відкликання та відмови від апеляційних, касаційних скарг, укладання мирової угоди.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Слід зазначити, що прийняття будь-яких процесуальних рішень, що призводять до закінчення (припинення) розгляду справи здійснюється виключно Головою Національної поліції України.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Окремо керівництвом Правового департаменту вживаються додаткові заходи контролю за підготовкою та поданням процесуальних документів та належним представництвом інтересів поліції у суді, зокрема, вивчаються та за необхідністю корегуються перед поданням до суду заяви по суті справи, апеляційні та касаційні скарги від імені Національної поліції України тощо. </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З метою підвищення якості службових розслідувань, за результатами яких поліцейських звільняють зі служби в поліції та зменшення фактів їх поновлення на службі, згідно рішень адміністративного суду, Головою НПУ надано доручення про обов’язковість включення до складу дисциплінарних комісій представника підрозділу правового забезпечення та про необхідність залучення до складу вищевказаних комісій представників громадськості. (вих. від 17.05.2023  № 17471)</w:t>
            </w:r>
          </w:p>
          <w:p>
            <w:pPr>
              <w:pStyle w:val="Normal"/>
              <w:widowControl w:val="false"/>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З метою запровадження додаткових заходів контролю та дотримання положень статті 28 ЗУ «Про запобігання корупції», Головою НПУ надано доручення ПД та  територіальним (у т.ч. міжрег.) органам поліції,  шляхом недопущення працівника підрозділу правового забезпечення, який включався до складу дисциплінарної комісії для проведення службового розслідування, до здійснення ним представництва в судах під час розгляду  судових справ про оскарження поліціейськими (колишніми поліцейськими) дисциплінарних наказів, виданих за результатами таких службових розслідувань. (доручення Голови НПУ №17029/01-2024 від 23.02.2024)</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Також весь особовий склад Правового департаменту попереджений про відповідальність, яка настає за порушення антикорупційного законодавства.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32</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X. Організація досудового розслідування  у Національній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Ймовірна можливість слідчих/дізнавачів безконтрольного доступу до ЄРДР під час невиконання своїх службових обов’язків (звільнення, переміщення із посад слідчих /дізнавачів на інші посади,  перебування у відпустках,  лікарняних) для  незаконного використання відповідної інформації або внесення до ЄРДР недостовірних даних,   з метою отримання неправомірної вигоди від третіх осіб</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Працівники поліції, використовуючи службові повноваження, мають можливість безконтрольного доступу до ЄРДР під час невиконання своїх службових обов’язків (звільнення, переміщення із посад слідчих /дізнавачів на інші посади, перебування у відпустках, у тому числі з виїздом за кордон, перебування на лікарняних) для  незаконного використання відповідної інформації або внесення до ЄРДР недостовірних даних,   з метою отримання неправомірної вигоди від третіх осіб</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 1.Недостатня урегульованість внутрішніх організаційно-нормативних актів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2.Недостатні існуючі методи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працівників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1.Регламентована КПК України процедура проведення досудового розслідування</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2.Регламентована  процедура порядку  доступу до ЄРДР </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3.Навчання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1.Розробка організаційно-розпорядчого документу із зазначенням порядку здачі слідчими (дізнавачами) особистого ключа (флешки) доступу до ЄРДР, при звільненні, переміщенні, переведені їх із  посад слідчих (дізнавачів) на інші посади; здачі та/або блокування доступу до ЄРДР в період перебування у відпустці, на лікарняному</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napToGrid w:val="false"/>
              <w:spacing w:lineRule="auto" w:line="240"/>
              <w:ind w:right="59" w:hanging="0"/>
              <w:jc w:val="both"/>
              <w:rPr>
                <w:rFonts w:ascii="Times New Roman" w:hAnsi="Times New Roman" w:eastAsia="Cambria Math"/>
                <w:kern w:val="2"/>
                <w:sz w:val="14"/>
                <w:szCs w:val="14"/>
                <w:lang w:val="uk-UA" w:eastAsia="ru-RU"/>
              </w:rPr>
            </w:pPr>
            <w:r>
              <w:rPr>
                <w:rFonts w:eastAsia="Cambria Math" w:ascii="Times New Roman" w:hAnsi="Times New Roman"/>
                <w:kern w:val="2"/>
                <w:sz w:val="14"/>
                <w:szCs w:val="14"/>
                <w:lang w:val="uk-UA" w:eastAsia="ru-RU"/>
              </w:rPr>
              <w:t>2.Проводити звірку з Офісом Генерального прокурора щодо доступу (кількості входів) до ЄРДР слідчих/дізнавачів (колишніх) або під час перебування у відпустках, на лікарняних із подальшим визначенням обґрунтованості цих входів</w:t>
            </w:r>
          </w:p>
          <w:p>
            <w:pPr>
              <w:pStyle w:val="Normal"/>
              <w:widowControl w:val="false"/>
              <w:snapToGrid w:val="false"/>
              <w:spacing w:lineRule="auto" w:line="240"/>
              <w:ind w:right="59" w:hanging="0"/>
              <w:jc w:val="both"/>
              <w:rPr>
                <w:rFonts w:ascii="Times New Roman" w:hAnsi="Times New Roman" w:eastAsia="Cambria Math"/>
                <w:kern w:val="2"/>
                <w:sz w:val="14"/>
                <w:szCs w:val="14"/>
                <w:lang w:val="uk-UA" w:eastAsia="ru-RU"/>
              </w:rPr>
            </w:pPr>
            <w:r>
              <w:rPr>
                <w:rFonts w:eastAsia="Cambria Math" w:ascii="Times New Roman" w:hAnsi="Times New Roman"/>
                <w:kern w:val="2"/>
                <w:sz w:val="14"/>
                <w:szCs w:val="14"/>
                <w:lang w:val="uk-UA" w:eastAsia="ru-RU"/>
              </w:rPr>
            </w:r>
          </w:p>
          <w:p>
            <w:pPr>
              <w:pStyle w:val="Normal"/>
              <w:widowControl w:val="false"/>
              <w:snapToGrid w:val="false"/>
              <w:spacing w:lineRule="auto" w:line="240"/>
              <w:ind w:right="59" w:hanging="0"/>
              <w:jc w:val="both"/>
              <w:rPr>
                <w:rFonts w:ascii="Times New Roman" w:hAnsi="Times New Roman" w:eastAsia="Cambria Math"/>
                <w:kern w:val="2"/>
                <w:sz w:val="14"/>
                <w:szCs w:val="14"/>
                <w:lang w:val="uk-UA" w:eastAsia="ru-RU"/>
              </w:rPr>
            </w:pPr>
            <w:r>
              <w:rPr>
                <w:rFonts w:eastAsia="Cambria Math" w:ascii="Times New Roman" w:hAnsi="Times New Roman"/>
                <w:kern w:val="2"/>
                <w:sz w:val="14"/>
                <w:szCs w:val="14"/>
                <w:lang w:val="uk-UA" w:eastAsia="ru-RU"/>
              </w:rPr>
            </w:r>
          </w:p>
          <w:p>
            <w:pPr>
              <w:pStyle w:val="Normal"/>
              <w:widowControl w:val="false"/>
              <w:snapToGrid w:val="false"/>
              <w:spacing w:lineRule="auto" w:line="240"/>
              <w:ind w:right="59" w:hanging="0"/>
              <w:jc w:val="both"/>
              <w:rPr>
                <w:rFonts w:ascii="Times New Roman" w:hAnsi="Times New Roman" w:eastAsia="Cambria Math"/>
                <w:kern w:val="2"/>
                <w:sz w:val="14"/>
                <w:szCs w:val="14"/>
                <w:lang w:val="uk-UA" w:eastAsia="ru-RU"/>
              </w:rPr>
            </w:pPr>
            <w:r>
              <w:rPr>
                <w:rFonts w:eastAsia="Cambria Math" w:ascii="Times New Roman" w:hAnsi="Times New Roman"/>
                <w:kern w:val="2"/>
                <w:sz w:val="14"/>
                <w:szCs w:val="14"/>
                <w:lang w:val="uk-UA" w:eastAsia="ru-RU"/>
              </w:rPr>
            </w:r>
          </w:p>
          <w:p>
            <w:pPr>
              <w:pStyle w:val="Normal"/>
              <w:widowControl w:val="false"/>
              <w:snapToGrid w:val="false"/>
              <w:spacing w:lineRule="auto" w:line="240"/>
              <w:ind w:right="59" w:hanging="0"/>
              <w:jc w:val="both"/>
              <w:rPr>
                <w:rFonts w:ascii="Times New Roman" w:hAnsi="Times New Roman" w:eastAsia="Cambria Math"/>
                <w:kern w:val="2"/>
                <w:sz w:val="14"/>
                <w:szCs w:val="14"/>
                <w:lang w:val="uk-UA" w:eastAsia="ru-RU"/>
              </w:rPr>
            </w:pPr>
            <w:r>
              <w:rPr>
                <w:rFonts w:eastAsia="Cambria Math" w:ascii="Times New Roman" w:hAnsi="Times New Roman"/>
                <w:kern w:val="2"/>
                <w:sz w:val="14"/>
                <w:szCs w:val="14"/>
                <w:lang w:val="uk-UA" w:eastAsia="ru-RU"/>
              </w:rPr>
            </w:r>
          </w:p>
          <w:p>
            <w:pPr>
              <w:pStyle w:val="Normal"/>
              <w:widowControl w:val="false"/>
              <w:snapToGrid w:val="false"/>
              <w:spacing w:lineRule="auto" w:line="240"/>
              <w:ind w:right="59" w:hanging="0"/>
              <w:jc w:val="both"/>
              <w:rPr>
                <w:rFonts w:ascii="Times New Roman" w:hAnsi="Times New Roman" w:eastAsia="Cambria Math"/>
                <w:kern w:val="2"/>
                <w:sz w:val="14"/>
                <w:szCs w:val="14"/>
                <w:lang w:val="uk-UA" w:eastAsia="ru-RU"/>
              </w:rPr>
            </w:pPr>
            <w:r>
              <w:rPr>
                <w:rFonts w:eastAsia="Cambria Math" w:ascii="Times New Roman" w:hAnsi="Times New Roman"/>
                <w:kern w:val="2"/>
                <w:sz w:val="14"/>
                <w:szCs w:val="14"/>
                <w:lang w:val="uk-UA" w:eastAsia="ru-RU"/>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3.Розробка організаційно-розпорядчого документу із зазначенням внесенням змін до обхідного листа, а саме пункту про здачу  слідчими (дізнавачами) особистого ключа (флешки) доступу до ЄРДР</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4.Розробка пам’ятки із порядком здачі слідчими (дізнавачами) особистого ключа (флешки) доступу до ЄРДР, при звільненні, переміщенні, переведені їх із  посад слідчих (дізнавачів) на інші посади</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5.Проведення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20.05.22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20.05.23</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20.05.22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20.05.22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Відповідний організаційно-розпорядчий документ розроблено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bCs/>
                <w:sz w:val="14"/>
                <w:szCs w:val="14"/>
                <w:lang w:val="ru-RU"/>
              </w:rPr>
              <w:t>Відповідні звірки проведено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Відповідний організаційно-розпорядчий документ розроблено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Пам’ятку розроблено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07.06.22</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20.05.23</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 xml:space="preserve">12.04.22 </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31.03.23</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5" w:right="-119"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6" w:hanging="0"/>
              <w:jc w:val="both"/>
              <w:rPr>
                <w:rFonts w:ascii="Times New Roman" w:hAnsi="Times New Roman"/>
                <w:sz w:val="14"/>
                <w:szCs w:val="14"/>
                <w:lang w:val="uk-UA"/>
              </w:rPr>
            </w:pPr>
            <w:r>
              <w:rPr>
                <w:rFonts w:ascii="Times New Roman" w:hAnsi="Times New Roman"/>
                <w:sz w:val="14"/>
                <w:szCs w:val="14"/>
                <w:lang w:val="uk-UA"/>
              </w:rPr>
              <w:t>Відповідний організаційно-розпорядчий документ розроблено (наказ УД від 07.06.2022 № 7)</w:t>
            </w:r>
          </w:p>
          <w:p>
            <w:pPr>
              <w:pStyle w:val="Normal"/>
              <w:widowControl w:val="false"/>
              <w:spacing w:lineRule="auto" w:line="240" w:before="0" w:after="0"/>
              <w:ind w:right="35" w:hanging="0"/>
              <w:jc w:val="both"/>
              <w:rPr>
                <w:rFonts w:ascii="Times New Roman" w:hAnsi="Times New Roman"/>
                <w:sz w:val="14"/>
                <w:szCs w:val="14"/>
                <w:lang w:val="uk-UA"/>
              </w:rPr>
            </w:pPr>
            <w:r>
              <w:rPr>
                <w:rFonts w:ascii="Times New Roman" w:hAnsi="Times New Roman"/>
                <w:bCs/>
                <w:sz w:val="14"/>
                <w:szCs w:val="14"/>
                <w:lang w:val="uk-UA"/>
              </w:rPr>
              <w:t>Додатково 06.06.2024 у ГСУ</w:t>
            </w:r>
            <w:r>
              <w:rPr>
                <w:rFonts w:ascii="Times New Roman" w:hAnsi="Times New Roman"/>
                <w:sz w:val="14"/>
                <w:szCs w:val="14"/>
                <w:lang w:val="uk-UA"/>
              </w:rPr>
              <w:t xml:space="preserve"> проведена нарада керівництва ГСУ (протокол наради №</w:t>
            </w:r>
            <w:r>
              <w:rPr>
                <w:rFonts w:ascii="Times New Roman" w:hAnsi="Times New Roman"/>
                <w:sz w:val="14"/>
                <w:szCs w:val="14"/>
              </w:rPr>
              <w:t> </w:t>
            </w:r>
            <w:r>
              <w:rPr>
                <w:rFonts w:ascii="Times New Roman" w:hAnsi="Times New Roman"/>
                <w:sz w:val="14"/>
                <w:szCs w:val="14"/>
                <w:lang w:val="uk-UA"/>
              </w:rPr>
              <w:t>49554/02-2024), у якому зобов'язано особовий склад дотримуватися вимог Положення про Єдиний реєстр досудових розслідувань, порядок його формування та ведення, затвердженого наказом Офісу Генерального прокурора від 30.06 2020  №</w:t>
            </w:r>
            <w:r>
              <w:rPr>
                <w:rFonts w:ascii="Times New Roman" w:hAnsi="Times New Roman"/>
                <w:sz w:val="14"/>
                <w:szCs w:val="14"/>
              </w:rPr>
              <w:t> </w:t>
            </w:r>
            <w:r>
              <w:rPr>
                <w:rFonts w:ascii="Times New Roman" w:hAnsi="Times New Roman"/>
                <w:sz w:val="14"/>
                <w:szCs w:val="14"/>
                <w:lang w:val="uk-UA"/>
              </w:rPr>
              <w:t>298 забезпечити блокування та скасування електронного підпису під час користування ЄРДР при тимчасовому припиненні своїх службових обов’язків (у зв’язку з відпусткою, хворобою та ін.), здачу слідчим особистого ключа (флешки) доступу до ЄРДР при звільненні, переміщенні, переведенні на інші посади.</w:t>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2" w:right="34" w:hanging="0"/>
              <w:jc w:val="both"/>
              <w:rPr>
                <w:rFonts w:ascii="Times New Roman" w:hAnsi="Times New Roman"/>
                <w:bCs/>
                <w:sz w:val="14"/>
                <w:szCs w:val="14"/>
                <w:lang w:val="uk-UA"/>
              </w:rPr>
            </w:pPr>
            <w:r>
              <w:rPr>
                <w:rFonts w:ascii="Times New Roman" w:hAnsi="Times New Roman"/>
                <w:bCs/>
                <w:sz w:val="14"/>
                <w:szCs w:val="14"/>
                <w:lang w:val="uk-UA"/>
              </w:rPr>
              <w:t>Відповідні звірки проводяться регулярно (листи УД до Офісу Генерального прокурора від 24.02.2023 № 450/49/3-2023, від 18.04.23№ 863/49/3-2023, від 09.05.2023 №1010/49/3-2023), від 23.08.2023 № 2040/49/3-2023)</w:t>
            </w:r>
            <w:r>
              <w:rPr>
                <w:bCs/>
                <w:lang w:val="uk-UA"/>
              </w:rPr>
              <w:t xml:space="preserve"> </w:t>
            </w:r>
            <w:r>
              <w:rPr>
                <w:rFonts w:ascii="Times New Roman" w:hAnsi="Times New Roman"/>
                <w:bCs/>
                <w:sz w:val="14"/>
                <w:szCs w:val="14"/>
                <w:lang w:val="uk-UA"/>
              </w:rPr>
              <w:t>№2169/49/3-2023, від 13.092023, №СЕД-9140, від 30.11.2023 від 15.03.2024                      № 40414-2024,</w:t>
            </w:r>
            <w:r>
              <w:rPr>
                <w:bCs/>
                <w:lang w:val="uk-UA"/>
              </w:rPr>
              <w:t xml:space="preserve"> </w:t>
            </w:r>
            <w:r>
              <w:rPr>
                <w:rFonts w:ascii="Times New Roman" w:hAnsi="Times New Roman"/>
                <w:bCs/>
                <w:sz w:val="14"/>
                <w:szCs w:val="14"/>
                <w:lang w:val="uk-UA"/>
              </w:rPr>
              <w:t xml:space="preserve">від 08.04.2024 № 51145-2024 необгрунтованих входів не виявлено. </w:t>
            </w:r>
          </w:p>
          <w:p>
            <w:pPr>
              <w:pStyle w:val="Normal"/>
              <w:widowControl w:val="false"/>
              <w:spacing w:lineRule="auto" w:line="240" w:before="0" w:after="0"/>
              <w:ind w:left="-46" w:right="35" w:hanging="0"/>
              <w:jc w:val="both"/>
              <w:rPr>
                <w:rFonts w:ascii="Times New Roman" w:hAnsi="Times New Roman"/>
                <w:sz w:val="14"/>
                <w:szCs w:val="14"/>
                <w:lang w:val="ru-RU"/>
              </w:rPr>
            </w:pPr>
            <w:r>
              <w:rPr>
                <w:rFonts w:ascii="Times New Roman" w:hAnsi="Times New Roman"/>
                <w:sz w:val="14"/>
                <w:szCs w:val="14"/>
                <w:lang w:val="uk-UA"/>
              </w:rPr>
              <w:t xml:space="preserve">Зобов’язано відповідальних із числа керівників слідчих підрозділів ГУНП проводити взаємозвірку з органами прокуратури щодо доступу (кількості входів) до ЄРДР слідчими підрозділами під час перебування у відпустках, на лікарняних із подальшим визначенням обгрунтованості цих виходів й оформленням довідки про відсутність або наявність порушень. </w:t>
            </w:r>
            <w:r>
              <w:rPr>
                <w:rFonts w:ascii="Times New Roman" w:hAnsi="Times New Roman"/>
                <w:sz w:val="14"/>
                <w:szCs w:val="14"/>
                <w:lang w:val="ru-RU"/>
              </w:rPr>
              <w:t>Лист ГСУ від 04.06.2024 №</w:t>
            </w:r>
            <w:r>
              <w:rPr>
                <w:rFonts w:ascii="Times New Roman" w:hAnsi="Times New Roman"/>
                <w:sz w:val="14"/>
                <w:szCs w:val="14"/>
              </w:rPr>
              <w:t> </w:t>
            </w:r>
            <w:r>
              <w:rPr>
                <w:rFonts w:ascii="Times New Roman" w:hAnsi="Times New Roman"/>
                <w:sz w:val="14"/>
                <w:szCs w:val="14"/>
                <w:lang w:val="ru-RU"/>
              </w:rPr>
              <w:t>77766/02-2024</w:t>
            </w:r>
          </w:p>
          <w:p>
            <w:pPr>
              <w:pStyle w:val="Normal"/>
              <w:widowControl w:val="false"/>
              <w:spacing w:lineRule="auto" w:line="240" w:before="0" w:after="0"/>
              <w:ind w:left="-62" w:right="34" w:hanging="0"/>
              <w:jc w:val="both"/>
              <w:rPr>
                <w:bCs/>
                <w:lang w:val="uk-UA"/>
              </w:rPr>
            </w:pPr>
            <w:r>
              <w:rPr>
                <w:bCs/>
                <w:lang w:val="uk-UA"/>
              </w:rPr>
              <w:t xml:space="preserve">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Відповідний організаційно-розпорядчий документ розроблено (протокол УД від 12.04.2022 № 5)</w:t>
            </w:r>
          </w:p>
          <w:p>
            <w:pPr>
              <w:pStyle w:val="Normal"/>
              <w:widowControl w:val="false"/>
              <w:spacing w:lineRule="auto" w:line="240" w:before="0" w:after="0"/>
              <w:ind w:left="12" w:right="28" w:hanging="0"/>
              <w:jc w:val="both"/>
              <w:rPr>
                <w:rFonts w:ascii="Times New Roman" w:hAnsi="Times New Roman"/>
                <w:bCs/>
                <w:sz w:val="14"/>
                <w:szCs w:val="14"/>
                <w:lang w:val="uk-UA"/>
              </w:rPr>
            </w:pPr>
            <w:r>
              <w:rPr>
                <w:rFonts w:eastAsia="Cambria Math" w:ascii="Times New Roman" w:hAnsi="Times New Roman"/>
                <w:kern w:val="2"/>
                <w:sz w:val="14"/>
                <w:szCs w:val="14"/>
                <w:lang w:val="uk-UA" w:eastAsia="ru-RU"/>
              </w:rPr>
              <w:t>Кадрові підрозділи органів поліції не пізніше наступного робочого дня після підписання наказу про призначення, переведення</w:t>
            </w:r>
            <w:r>
              <w:rPr>
                <w:rFonts w:ascii="Times New Roman" w:hAnsi="Times New Roman"/>
                <w:bCs/>
                <w:sz w:val="14"/>
                <w:szCs w:val="14"/>
                <w:lang w:val="uk-UA"/>
              </w:rPr>
              <w:t>, покладення виконання обов’язків, звільнення чи відсторонення від посади слідчого/дізнавача направляють його засвідчену копію чи витяг особам, відповідальним за ведення довідників, для внесення змін про реєстратора  та користувача ЄРДР (змінюються межі або позбавляються право доступу до ЄРДР).</w:t>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Пам’ятку розроблено. Керівництвом ГСУ, УД постійно контролюється порядок входу до ЄРДР, та перегляд відповідної інформації про те що:</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слідчий може переглядати, вносити зміни коригувати лише в тих кримінальних провадженнях які визначені за ним та проводить у них досудове розслідування;</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 при звільненні з посади, з органів в   обхідному листі передбачено відмітку про повернення ключа доступу до ЄРДР.</w:t>
            </w:r>
          </w:p>
          <w:p>
            <w:pPr>
              <w:pStyle w:val="Normal"/>
              <w:widowControl w:val="false"/>
              <w:spacing w:lineRule="auto" w:line="240" w:before="0" w:after="0"/>
              <w:ind w:left="-96" w:right="-147" w:hanging="0"/>
              <w:jc w:val="both"/>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(нак. УД 7 від 20.06.2022 (дод 3)</w:t>
            </w:r>
          </w:p>
          <w:p>
            <w:pPr>
              <w:pStyle w:val="Normal"/>
              <w:widowControl w:val="false"/>
              <w:spacing w:lineRule="auto" w:line="240" w:before="0" w:after="0"/>
              <w:ind w:left="-96"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6"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 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т.ч., ЄС з прав людини.</w:t>
            </w:r>
          </w:p>
          <w:p>
            <w:pPr>
              <w:pStyle w:val="Normal"/>
              <w:widowControl w:val="false"/>
              <w:spacing w:lineRule="auto" w:line="240" w:before="0" w:after="0"/>
              <w:ind w:right="137" w:hanging="0"/>
              <w:jc w:val="both"/>
              <w:rPr>
                <w:rStyle w:val="Hyperlink"/>
                <w:rFonts w:ascii="Times New Roman" w:hAnsi="Times New Roman"/>
                <w:color w:val="auto"/>
                <w:spacing w:val="-8"/>
                <w:sz w:val="14"/>
                <w:szCs w:val="14"/>
                <w:shd w:fill="FFFFFF" w:val="clear"/>
                <w:lang w:val="uk-UA" w:eastAsia="ru-RU"/>
              </w:rPr>
            </w:pPr>
            <w:hyperlink r:id="rId13">
              <w:r>
                <w:rPr>
                  <w:rStyle w:val="Hyperlink"/>
                  <w:rFonts w:ascii="Times New Roman" w:hAnsi="Times New Roman"/>
                  <w:color w:val="000000"/>
                  <w:spacing w:val="-8"/>
                  <w:sz w:val="14"/>
                  <w:szCs w:val="14"/>
                  <w:shd w:fill="FFFFFF" w:val="clear"/>
                  <w:lang w:eastAsia="ru-RU"/>
                </w:rPr>
                <w:t>https</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www</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npu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gov</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ua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pro</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policiyu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zapobigannya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protidiya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korupciyi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vidpovidalnist</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korupcijni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abo</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povyazani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korupciyeyu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pravoporushennya</w:t>
              </w:r>
            </w:hyperlink>
          </w:p>
          <w:p>
            <w:pPr>
              <w:pStyle w:val="Normal"/>
              <w:widowControl w:val="false"/>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ind w:right="35" w:hanging="0"/>
              <w:jc w:val="both"/>
              <w:rPr>
                <w:rFonts w:ascii="Times New Roman" w:hAnsi="Times New Roman"/>
                <w:sz w:val="14"/>
                <w:szCs w:val="14"/>
                <w:lang w:val="uk-UA"/>
              </w:rPr>
            </w:pPr>
            <w:r>
              <w:rPr>
                <w:rFonts w:ascii="Times New Roman" w:hAnsi="Times New Roman"/>
                <w:sz w:val="14"/>
                <w:szCs w:val="14"/>
                <w:lang w:val="uk-UA"/>
              </w:rPr>
              <w:t>Проведення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визначено на останню п’ятницю місяця о 14.00 (наказ ГСУ НПУ від 13.06.2024 № 15)</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33</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X. Організація досудового розслідування  у Національній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прийняття неправомірних процесуальних рішень слідчим/дізнавачем під час досудового розслідування кримінального провадження, /проступку та його закриття в умовах реального конфлікту інтересів</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Слідчі /дізнавачі маючи дискреційні повноваження щодо оцінки матеріалів та доказів можуть прийняти  неправомірні процесуальні рішення під час досудового розслідування кримінальних проваджень (проступків)  в умовах реального конфлікту інтересів</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урегульованість внутрішніх організаційно-нормативних актів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2.Недостатні існуючі методи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працівників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1.Регламентована КПК України процедура проведення досудового розслідування</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недопущення прийняття рішень в умовах конфлікту інтересів,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1.Розробка організаційно-розпорядчого документу із запровадженням вимоги подання слідчим (дізнавачем) письмового повідомлення (рапорту) про відсутність конфлікту інтересів у кожному кримінальному провадженні</w:t>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2.Внесення змін до внутрішніх інструкцій поліції в частині забезпечення направлення копії постанови про закриття кримінального провадження керівнику досудового   розслідування.</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3.Проведення моніторингу  скарг щодо  проведення кримінального провадження</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4.Розробка пам’ятки із порядком  подання слідчим (дізнавачем) письмового повідомлення (рапорту) про відсутність конфлікту інтересів у кожному кримінальному провадженні</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5.Проведення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20.07.22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20.07.22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20.07.22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 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Організаційно-розпорядчий документ розроблено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Внесені зміни до внутрішніх інструкцій поліції</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Моніторинг скарг проведено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Розроблено пам’ятку</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t>.</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t>20.06.22</w:t>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t>28.03.22</w:t>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t>20.06.22</w:t>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3" w:right="-121" w:hanging="0"/>
              <w:jc w:val="center"/>
              <w:rPr>
                <w:rFonts w:ascii="Times New Roman" w:hAnsi="Times New Roman"/>
                <w:sz w:val="14"/>
                <w:szCs w:val="14"/>
                <w:lang w:val="uk-UA"/>
              </w:rPr>
            </w:pPr>
            <w:r>
              <w:rPr>
                <w:rFonts w:ascii="Times New Roman" w:hAnsi="Times New Roman"/>
                <w:sz w:val="14"/>
                <w:szCs w:val="14"/>
                <w:lang w:val="uk-UA"/>
              </w:rPr>
              <w:t>30.06.24</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5" w:right="-156"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47"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35" w:hanging="0"/>
              <w:jc w:val="both"/>
              <w:rPr>
                <w:rFonts w:ascii="Times New Roman" w:hAnsi="Times New Roman"/>
                <w:sz w:val="14"/>
                <w:szCs w:val="14"/>
                <w:lang w:val="uk-UA"/>
              </w:rPr>
            </w:pPr>
            <w:r>
              <w:rPr>
                <w:rFonts w:ascii="Times New Roman" w:hAnsi="Times New Roman"/>
                <w:sz w:val="14"/>
                <w:szCs w:val="14"/>
                <w:lang w:val="uk-UA"/>
              </w:rPr>
              <w:t>Відповідний організаційно-розпорядчий документ розроблено на підставі статей 77 та 81 КПК. Наказ УД 7 від 20.06.2022, лист до ГУНП № 608/49/3-2023 від 14.03.2023</w:t>
            </w:r>
            <w:r>
              <w:rPr>
                <w:lang w:val="uk-UA"/>
              </w:rPr>
              <w:t xml:space="preserve"> </w:t>
            </w:r>
            <w:r>
              <w:rPr>
                <w:rFonts w:ascii="Times New Roman" w:hAnsi="Times New Roman"/>
                <w:sz w:val="14"/>
                <w:szCs w:val="14"/>
                <w:lang w:val="uk-UA"/>
              </w:rPr>
              <w:t>Листом ГСУ від 04.06.2024 №</w:t>
            </w:r>
            <w:r>
              <w:rPr>
                <w:rFonts w:ascii="Times New Roman" w:hAnsi="Times New Roman"/>
                <w:sz w:val="14"/>
                <w:szCs w:val="14"/>
              </w:rPr>
              <w:t> </w:t>
            </w:r>
            <w:r>
              <w:rPr>
                <w:rFonts w:ascii="Times New Roman" w:hAnsi="Times New Roman"/>
                <w:sz w:val="14"/>
                <w:szCs w:val="14"/>
                <w:lang w:val="uk-UA"/>
              </w:rPr>
              <w:t>77766/02-2024 додатково зобов’язано керівників СУ ГУНП в виключати наявність конфлікту інтересів при розподілі матеріалів кожного кримінального провадження про що інформувати щокварталу.</w:t>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зміни (у т.ч. контролю за дотриманням вимог) до Порядку ведення єдиного обліку в органах (підрозділах) поліції заяв і повідомлень про кримінальні правопорушення та інші події внесені наказом МВС від 28.03.2022 № 203.</w:t>
            </w:r>
          </w:p>
          <w:p>
            <w:pPr>
              <w:pStyle w:val="Normal"/>
              <w:widowControl w:val="false"/>
              <w:spacing w:lineRule="auto" w:line="240" w:before="0" w:after="0"/>
              <w:ind w:right="35" w:hanging="0"/>
              <w:jc w:val="both"/>
              <w:rPr>
                <w:rFonts w:ascii="Times New Roman" w:hAnsi="Times New Roman"/>
                <w:sz w:val="14"/>
                <w:szCs w:val="14"/>
                <w:lang w:val="uk-UA"/>
              </w:rPr>
            </w:pPr>
            <w:r>
              <w:rPr>
                <w:rFonts w:ascii="Times New Roman" w:hAnsi="Times New Roman"/>
                <w:sz w:val="14"/>
                <w:szCs w:val="14"/>
                <w:lang w:val="uk-UA"/>
              </w:rPr>
              <w:t>Керівників слідчих управлінь ГУНП листом ГСУ від 04.06.2024 №</w:t>
            </w:r>
            <w:r>
              <w:rPr>
                <w:rFonts w:ascii="Times New Roman" w:hAnsi="Times New Roman"/>
                <w:sz w:val="14"/>
                <w:szCs w:val="14"/>
              </w:rPr>
              <w:t> </w:t>
            </w:r>
            <w:r>
              <w:rPr>
                <w:rFonts w:ascii="Times New Roman" w:hAnsi="Times New Roman"/>
                <w:sz w:val="14"/>
                <w:szCs w:val="14"/>
                <w:lang w:val="uk-UA"/>
              </w:rPr>
              <w:t>77766/02-2024 додатково зобов’язано вивчати постанови про закриття кримінальних проваджень з метою недопущення можливості прийняття неправомірних рішень під час досудового розслідування в кримінальному провадженні та його закриття в умовах реального конфлікту інтересів, про що формувати відповідну наглядову справу.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Відповідний щоквартальний моніторинг скарг проведено.  Надійшло 9757 скарг щодо проведення кримінального провадження за 2023 рік.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За результатами проведеного моніторингу у  2023 році  працівниками ДВБ, порушень у діях слідчих/дізнавачів порушень не виявлено. </w:t>
            </w:r>
          </w:p>
          <w:p>
            <w:pPr>
              <w:pStyle w:val="21"/>
              <w:widowControl w:val="false"/>
              <w:snapToGrid w:val="false"/>
              <w:ind w:right="28" w:hanging="0"/>
              <w:rPr>
                <w:sz w:val="14"/>
                <w:szCs w:val="14"/>
                <w:lang w:val="uk-UA"/>
              </w:rPr>
            </w:pPr>
            <w:r>
              <w:rPr>
                <w:sz w:val="14"/>
                <w:szCs w:val="14"/>
                <w:lang w:val="uk-UA"/>
              </w:rPr>
              <w:t xml:space="preserve">За 1 півріччі 2024 року надійшло 4759 скарг щодо проведення кримінального провадження.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Також моніторинг скарг щодо проведення кримінального провадження здійснюється працівниками ДВБ під час розгляду відповідних заяв та повідомлень та виконанні доручень слідчих підрозділів. Також в структурі ДВБ утворено відділ оперативної підтримки на який серед іншого покладено обов’язок моніторингу скарг щодо проведення кримінального провадження.</w:t>
            </w:r>
          </w:p>
          <w:p>
            <w:pPr>
              <w:pStyle w:val="21"/>
              <w:widowControl w:val="false"/>
              <w:snapToGrid w:val="false"/>
              <w:ind w:right="28" w:hanging="88"/>
              <w:rPr>
                <w:spacing w:val="-8"/>
                <w:sz w:val="14"/>
                <w:szCs w:val="14"/>
                <w:shd w:fill="FFFFFF" w:val="clear"/>
                <w:lang w:val="uk-UA" w:eastAsia="ru-RU"/>
              </w:rPr>
            </w:pPr>
            <w:r>
              <w:rPr>
                <w:spacing w:val="-8"/>
                <w:sz w:val="14"/>
                <w:szCs w:val="14"/>
                <w:shd w:fill="FFFFFF" w:val="clear"/>
                <w:lang w:val="uk-UA" w:eastAsia="ru-RU"/>
              </w:rPr>
              <w:t xml:space="preserve">  </w:t>
            </w:r>
            <w:r>
              <w:rPr>
                <w:spacing w:val="-8"/>
                <w:sz w:val="14"/>
                <w:szCs w:val="14"/>
                <w:shd w:fill="FFFFFF" w:val="clear"/>
                <w:lang w:val="uk-UA" w:eastAsia="ru-RU"/>
              </w:rPr>
              <w:t>За результатами проведеного моніторингу у 2 кварталі 2024 року  працівниками ДВБ, порушень у діях слідчих/дізнавачів порушень не виявлено.</w:t>
            </w:r>
          </w:p>
          <w:p>
            <w:pPr>
              <w:pStyle w:val="Normal"/>
              <w:widowControl w:val="false"/>
              <w:spacing w:lineRule="auto" w:line="240"/>
              <w:ind w:right="35" w:hanging="0"/>
              <w:jc w:val="both"/>
              <w:rPr>
                <w:rFonts w:ascii="Times New Roman" w:hAnsi="Times New Roman"/>
                <w:sz w:val="14"/>
                <w:szCs w:val="14"/>
                <w:lang w:val="uk-UA"/>
              </w:rPr>
            </w:pPr>
            <w:r>
              <w:rPr>
                <w:rFonts w:ascii="Times New Roman" w:hAnsi="Times New Roman"/>
                <w:sz w:val="14"/>
                <w:szCs w:val="14"/>
                <w:lang w:val="uk-UA"/>
              </w:rPr>
              <w:t>Керівників СУ ГУНП додатково зобов’язано щомісяця моніторити скарги (запити) з метою виключення корупційних ризиків (лист ГСУ від 04.06.2024 №</w:t>
            </w:r>
            <w:r>
              <w:rPr>
                <w:rFonts w:ascii="Times New Roman" w:hAnsi="Times New Roman"/>
                <w:sz w:val="14"/>
                <w:szCs w:val="14"/>
              </w:rPr>
              <w:t> </w:t>
            </w:r>
            <w:r>
              <w:rPr>
                <w:rFonts w:ascii="Times New Roman" w:hAnsi="Times New Roman"/>
                <w:sz w:val="14"/>
                <w:szCs w:val="14"/>
                <w:lang w:val="uk-UA"/>
              </w:rPr>
              <w:t>77766/02-2024).</w:t>
            </w:r>
          </w:p>
          <w:p>
            <w:pPr>
              <w:pStyle w:val="Normal"/>
              <w:widowControl w:val="false"/>
              <w:spacing w:lineRule="auto" w:line="240" w:before="0" w:after="0"/>
              <w:ind w:left="-96" w:hanging="0"/>
              <w:jc w:val="both"/>
              <w:rPr>
                <w:rFonts w:ascii="Times New Roman" w:hAnsi="Times New Roman"/>
                <w:sz w:val="14"/>
                <w:szCs w:val="14"/>
                <w:lang w:val="uk-UA"/>
              </w:rPr>
            </w:pPr>
            <w:r>
              <w:rPr>
                <w:rFonts w:ascii="Times New Roman" w:hAnsi="Times New Roman"/>
                <w:sz w:val="14"/>
                <w:szCs w:val="14"/>
                <w:lang w:val="uk-UA"/>
              </w:rPr>
              <w:t xml:space="preserve"> </w:t>
            </w:r>
          </w:p>
          <w:p>
            <w:pPr>
              <w:pStyle w:val="Normal"/>
              <w:widowControl w:val="false"/>
              <w:spacing w:lineRule="auto" w:line="240" w:before="0" w:after="0"/>
              <w:ind w:left="-96" w:hanging="0"/>
              <w:jc w:val="both"/>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Пам’ятку розроблено, затверджено</w:t>
            </w:r>
          </w:p>
          <w:p>
            <w:pPr>
              <w:pStyle w:val="Normal"/>
              <w:widowControl w:val="false"/>
              <w:spacing w:lineRule="auto" w:line="240" w:before="0" w:after="0"/>
              <w:ind w:left="-96" w:right="-147" w:hanging="0"/>
              <w:jc w:val="both"/>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наказом УД 7 від 20.06.2022 (дод 2)</w:t>
            </w:r>
          </w:p>
          <w:p>
            <w:pPr>
              <w:pStyle w:val="Normal"/>
              <w:widowControl w:val="false"/>
              <w:spacing w:lineRule="auto" w:line="240" w:before="0" w:after="0"/>
              <w:ind w:right="35" w:hanging="0"/>
              <w:jc w:val="both"/>
              <w:rPr>
                <w:rFonts w:ascii="Times New Roman" w:hAnsi="Times New Roman"/>
                <w:sz w:val="14"/>
                <w:szCs w:val="14"/>
                <w:lang w:val="uk-UA"/>
              </w:rPr>
            </w:pPr>
            <w:r>
              <w:rPr>
                <w:rFonts w:ascii="Times New Roman" w:hAnsi="Times New Roman"/>
                <w:sz w:val="14"/>
                <w:szCs w:val="14"/>
                <w:lang w:val="uk-UA"/>
              </w:rPr>
              <w:t>Листом ГСУ від 04.06.2024 №</w:t>
            </w:r>
            <w:r>
              <w:rPr>
                <w:rFonts w:ascii="Times New Roman" w:hAnsi="Times New Roman"/>
                <w:sz w:val="14"/>
                <w:szCs w:val="14"/>
              </w:rPr>
              <w:t> </w:t>
            </w:r>
            <w:r>
              <w:rPr>
                <w:rFonts w:ascii="Times New Roman" w:hAnsi="Times New Roman"/>
                <w:sz w:val="14"/>
                <w:szCs w:val="14"/>
                <w:lang w:val="uk-UA"/>
              </w:rPr>
              <w:t>77766/02-2024 додатково зобов’язано керівників СУ ГУНП в виключати наявність конфлікту інтересів при розподілі матеріалів кожного кримінального провадження про що інформувати щокварталу.</w:t>
            </w:r>
          </w:p>
          <w:p>
            <w:pPr>
              <w:pStyle w:val="Normal"/>
              <w:widowControl w:val="false"/>
              <w:spacing w:lineRule="auto" w:line="240" w:before="0" w:after="0"/>
              <w:ind w:right="-147" w:hanging="0"/>
              <w:jc w:val="both"/>
              <w:rPr>
                <w:rFonts w:ascii="Times New Roman" w:hAnsi="Times New Roman" w:eastAsia="Calibri"/>
                <w:lang w:val="uk-UA" w:eastAsia="uk-UA"/>
              </w:rPr>
            </w:pPr>
            <w:r>
              <w:rPr>
                <w:rFonts w:eastAsia="Calibri" w:ascii="Times New Roman" w:hAnsi="Times New Roman"/>
                <w:lang w:val="uk-UA" w:eastAsia="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Style w:val="Hyperlink"/>
                <w:rFonts w:ascii="Times New Roman" w:hAnsi="Times New Roman"/>
                <w:color w:val="auto"/>
                <w:spacing w:val="-8"/>
                <w:sz w:val="14"/>
                <w:szCs w:val="14"/>
                <w:shd w:fill="FFFFFF" w:val="clear"/>
                <w:lang w:eastAsia="ru-RU"/>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 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т.ч., Європейського суду з прав людини.</w:t>
            </w:r>
            <w:r>
              <w:rPr>
                <w:lang w:val="uk-UA"/>
              </w:rPr>
              <w:t xml:space="preserve"> </w:t>
            </w:r>
            <w:hyperlink r:id="rId14">
              <w:r>
                <w:rPr>
                  <w:rStyle w:val="Hyperlink"/>
                  <w:rFonts w:ascii="Times New Roman" w:hAnsi="Times New Roman"/>
                  <w:color w:val="000000"/>
                  <w:spacing w:val="-8"/>
                  <w:sz w:val="14"/>
                  <w:szCs w:val="14"/>
                  <w:shd w:fill="FFFFFF" w:val="clear"/>
                  <w:lang w:eastAsia="ru-RU"/>
                </w:rPr>
                <w:t>https://www.npu.gov.ua/pro-policiyu/zapobigannya-i-protidiya-korupciyi/vidpovidalnist-za-korupcijni-abo-povyazani-z-korupciyeyu-pravoporushennya</w:t>
              </w:r>
            </w:hyperlink>
          </w:p>
          <w:p>
            <w:pPr>
              <w:pStyle w:val="Normal"/>
              <w:widowControl w:val="false"/>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bCs/>
                <w:iCs/>
                <w:sz w:val="14"/>
                <w:szCs w:val="14"/>
                <w:lang w:val="uk-UA"/>
              </w:rPr>
              <w:t>З метою недопущення (мінімізації) порушень законодавства у т.ч.</w:t>
            </w:r>
            <w:r>
              <w:rPr>
                <w:rFonts w:ascii="Times New Roman" w:hAnsi="Times New Roman"/>
                <w:spacing w:val="-8"/>
                <w:sz w:val="14"/>
                <w:szCs w:val="14"/>
                <w:shd w:fill="FFFFFF" w:val="clear"/>
                <w:lang w:val="uk-UA" w:eastAsia="ru-RU"/>
              </w:rPr>
              <w:t xml:space="preserve"> антикорупційного  </w:t>
            </w:r>
            <w:r>
              <w:rPr>
                <w:rFonts w:ascii="Times New Roman" w:hAnsi="Times New Roman"/>
                <w:sz w:val="14"/>
                <w:szCs w:val="14"/>
                <w:lang w:val="uk-UA"/>
              </w:rPr>
              <w:t xml:space="preserve"> під час розслідування кримінальних проваджень</w:t>
            </w:r>
            <w:r>
              <w:rPr>
                <w:rFonts w:ascii="Times New Roman" w:hAnsi="Times New Roman"/>
                <w:spacing w:val="-8"/>
                <w:sz w:val="14"/>
                <w:szCs w:val="14"/>
                <w:shd w:fill="FFFFFF" w:val="clear"/>
                <w:lang w:val="uk-UA" w:eastAsia="ru-RU"/>
              </w:rPr>
              <w:t xml:space="preserve">                        у ГСУ підготовлені працівники (з отриманням  сертифікатів американської асоціації поліграфологів ) за фахом психофізіологичних досліджень з використанням поліграфа, які будуть проводити відповідні дослідження при проведенні досудового розслідування.</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34</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X. Організація досудового розслідування  у Національній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Ймовірні дискреційні повноваження керівників слідчих підрозділів/ підрозділів дізнання, при визначенні слідчого/дізнавача, для здійснення досудового розслідування,  з метою  можливого винесення ним у подальшому  неправомірного процесуального рішення для задоволення приватного інтересу свого або на користь третіх осіб</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Керівники слідчих підрозділів, підрозділів дізнання мають ймовірні дискреційні повноваження при визначенні «підконтрольного» слідчого/дізнавача, для здійснення досудового розслідування, з метою  можливого винесення ним у подальшому  неправомірного процесуального рішення для задоволення приватного інтересу свого або на користь третіх осіб</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урегульованість внутрішнього алгоритму дій</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2.Недостатні існуючі методи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працівників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1.Регламентована КПК України процедура проведення досудового розслідування</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1</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1.Створення алгоритму   визначення розподілу кримінальних проваджень за слідчими (дізнавачами) (по аналогії з автоматизованим розподілом справ у суді).</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2.Проводення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20.09.22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Створено алгоритм  визначення розподілу кримінальних проваджень</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здійснено</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t>14.03.23</w:t>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Розподіл кримінальних проваджень за слідчими (дізнавачами) визначено, повноваження керівництва СУ та УД  є призначення та відсторонення  слідчого (дізнавача), надання їм вказівок, згідно ст.39 КПК України. Лист до ГУНП № 08/49/3-2023 від 14.03.2023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При внесенні відомостей до Єдиного реєстру досудових розслідувань про кримінальні правопорушення та розподілу матеріалів за слідчими враховується спеціалізація за напрямками у сфері господарської діяльності, транспорту, загальнокримінальної спрямованості, злочинів проти життя та здоров'я, статевої свободи і статевої недоторканності особи, в умовах збройного конфлікту, вчинених неповнолітніми та інше, які відповідно до фахового рівня та навиків. Закріплення слідчих за спеціалізацією проводиться організаційно-розпорядчими документами керівником підрозділу.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Листом ГСУ від 04.06.2024 № 77766/02-2024 керівників СУ ГУНП додатково зобов’язано виключати наявність конфлікту інтересів при розподілі матеріалів кожного кримінального провадження.</w:t>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t xml:space="preserve">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tabs>
                <w:tab w:val="clear" w:pos="708"/>
                <w:tab w:val="left" w:pos="0" w:leader="none"/>
              </w:tabs>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ind w:right="35" w:hanging="0"/>
              <w:jc w:val="both"/>
              <w:rPr>
                <w:rFonts w:ascii="Times New Roman" w:hAnsi="Times New Roman"/>
                <w:sz w:val="14"/>
                <w:szCs w:val="14"/>
                <w:lang w:val="uk-UA"/>
              </w:rPr>
            </w:pPr>
            <w:r>
              <w:rPr>
                <w:rFonts w:ascii="Times New Roman" w:hAnsi="Times New Roman"/>
                <w:sz w:val="14"/>
                <w:szCs w:val="14"/>
                <w:lang w:val="uk-UA"/>
              </w:rPr>
              <w:t>Проводення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pPr>
              <w:pStyle w:val="Normal"/>
              <w:widowControl w:val="false"/>
              <w:spacing w:lineRule="auto" w:line="240" w:before="0" w:after="0"/>
              <w:ind w:right="35" w:hanging="0"/>
              <w:jc w:val="both"/>
              <w:rPr>
                <w:rFonts w:ascii="Times New Roman" w:hAnsi="Times New Roman"/>
                <w:sz w:val="14"/>
                <w:szCs w:val="14"/>
                <w:lang w:val="uk-UA"/>
              </w:rPr>
            </w:pPr>
            <w:r>
              <w:rPr>
                <w:rFonts w:ascii="Times New Roman" w:hAnsi="Times New Roman"/>
                <w:sz w:val="14"/>
                <w:szCs w:val="14"/>
                <w:lang w:val="uk-UA"/>
              </w:rPr>
              <w:t>визначено на останню п’ятницю місяця о 14.00 (наказ ГСУ НПУ від 13.06.2024 № 15)</w:t>
            </w:r>
          </w:p>
          <w:p>
            <w:pPr>
              <w:pStyle w:val="Normal"/>
              <w:widowControl w:val="false"/>
              <w:spacing w:lineRule="auto" w:line="240" w:before="0" w:after="0"/>
              <w:ind w:right="35"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35"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34" w:hanging="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w:t>
            </w:r>
          </w:p>
          <w:p>
            <w:pPr>
              <w:pStyle w:val="Normal"/>
              <w:widowControl w:val="false"/>
              <w:spacing w:lineRule="auto" w:line="240" w:before="0" w:after="0"/>
              <w:ind w:right="34" w:hanging="0"/>
              <w:jc w:val="both"/>
              <w:rPr>
                <w:spacing w:val="-8"/>
                <w:shd w:fill="FFFFFF" w:val="clear"/>
                <w:lang w:val="uk-UA" w:eastAsia="ru-RU"/>
              </w:rPr>
            </w:pPr>
            <w:hyperlink r:id="rId15">
              <w:r>
                <w:rPr>
                  <w:rStyle w:val="Hyperlink"/>
                  <w:rFonts w:ascii="Times New Roman" w:hAnsi="Times New Roman"/>
                  <w:color w:val="000000"/>
                  <w:spacing w:val="-8"/>
                  <w:sz w:val="14"/>
                  <w:szCs w:val="14"/>
                  <w:shd w:fill="FFFFFF" w:val="clear"/>
                  <w:lang w:eastAsia="ru-RU"/>
                </w:rPr>
                <w:t>https</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www</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npu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gov</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ua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pro</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policiyu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zapobigannya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protidiya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korupciyi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vidpovidalnist</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korupcijni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abo</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povyazani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korupciyeyu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pravoporushennya</w:t>
              </w:r>
            </w:hyperlink>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здійсненні досудового розслідування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06"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35</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X. Організація досудового розслідування  у Національній поліції України</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задоволення приватних інтересів своїх або третіх осіб оперативним працівником, слідчим/ дізнавачем під час направлення запитів у порядку ст.ст. 40, 93 КПК України в рамках досудового розслідування</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Можливість використання службових повноважень, передбачених КПК України, щодо отримання (витребування) певної інформації в рамках досудового розслідування, з метою задоволення приватного інтересу свого або на користь третіх осіб</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1.Недостатні існуючі методи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працівників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 Регламентована КПК України процедура проведення досудового розслідування</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4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03"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82"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1.Проведення вибіркового моніторингу  відповідних запитів</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2.Проводення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4"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ДКР</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ДКР</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ГСУ</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УД</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ДКР</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Моніторинг проведено</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здійснено</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4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Щоквартальний вибірковий моніторинг  відповідних запитів запроваджено (лист до ГУНП № 608/49/3-2023 від 14.03.2023).</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shd w:fill="FFFFFF" w:val="clear"/>
                <w:lang w:val="uk-UA"/>
              </w:rPr>
              <w:t>Щоквартальний вибірковий моніторинг  відповідних запитів запроваджено (</w:t>
            </w:r>
            <w:r>
              <w:rPr>
                <w:rFonts w:ascii="Times New Roman" w:hAnsi="Times New Roman"/>
                <w:sz w:val="14"/>
                <w:szCs w:val="14"/>
                <w:lang w:val="uk-UA"/>
              </w:rPr>
              <w:t xml:space="preserve">лист до ГУНП № </w:t>
            </w:r>
            <w:r>
              <w:rPr>
                <w:rFonts w:ascii="Times New Roman" w:hAnsi="Times New Roman"/>
                <w:bCs/>
                <w:sz w:val="14"/>
                <w:szCs w:val="14"/>
                <w:lang w:val="uk-UA"/>
              </w:rPr>
              <w:t>608/49/3-2023 від 14.03.2023)</w:t>
            </w:r>
            <w:r>
              <w:rPr>
                <w:rFonts w:ascii="Times New Roman" w:hAnsi="Times New Roman"/>
                <w:sz w:val="14"/>
                <w:szCs w:val="14"/>
                <w:lang w:val="uk-UA"/>
              </w:rPr>
              <w:t xml:space="preserve"> Проводиться щоквартальна звірка,  за 2023 рік отримано  72 листів, порушень не виявлено.</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Проводиться щоквартальна звірка, за 1 квартал 2024 року отримано 24 листів                          - порушень не виявлено.</w:t>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09.01.2023 - на виконання листа від 23.12.2022 № 5811/12/7/01-2022 розроблені тематичні плани для організації занять у системі службової підготовки  особового складу УЗК. </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tabs>
                <w:tab w:val="clear" w:pos="708"/>
                <w:tab w:val="left" w:pos="0" w:leader="none"/>
              </w:tabs>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tabs>
                <w:tab w:val="clear" w:pos="708"/>
                <w:tab w:val="left" w:pos="0" w:leader="none"/>
              </w:tabs>
              <w:spacing w:lineRule="auto" w:line="240" w:before="0" w:after="0"/>
              <w:jc w:val="both"/>
              <w:rPr>
                <w:rFonts w:ascii="Times New Roman" w:hAnsi="Times New Roman"/>
                <w:bCs/>
                <w:iCs/>
                <w:sz w:val="14"/>
                <w:szCs w:val="14"/>
                <w:lang w:val="uk-UA"/>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w:t>
            </w:r>
          </w:p>
          <w:p>
            <w:pPr>
              <w:pStyle w:val="Normal"/>
              <w:widowControl w:val="false"/>
              <w:spacing w:lineRule="auto" w:line="240" w:before="0" w:after="0"/>
              <w:ind w:right="34" w:hanging="0"/>
              <w:jc w:val="both"/>
              <w:rPr>
                <w:rStyle w:val="Hyperlink"/>
                <w:rFonts w:ascii="Times New Roman" w:hAnsi="Times New Roman"/>
                <w:color w:val="auto"/>
                <w:spacing w:val="-8"/>
                <w:sz w:val="14"/>
                <w:szCs w:val="14"/>
                <w:shd w:fill="FFFFFF" w:val="clear"/>
                <w:lang w:val="uk-UA" w:eastAsia="ru-RU"/>
              </w:rPr>
            </w:pPr>
            <w:hyperlink r:id="rId16">
              <w:r>
                <w:rPr>
                  <w:rStyle w:val="Hyperlink"/>
                  <w:rFonts w:ascii="Times New Roman" w:hAnsi="Times New Roman"/>
                  <w:color w:val="000000"/>
                  <w:spacing w:val="-8"/>
                  <w:sz w:val="14"/>
                  <w:szCs w:val="14"/>
                  <w:shd w:fill="FFFFFF" w:val="clear"/>
                  <w:lang w:eastAsia="ru-RU"/>
                </w:rPr>
                <w:t>https</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www</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npu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gov</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ua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pro</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policiyu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zapobigannya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protidiya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korupciyi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vidpovidalnist</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korupcijni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abo</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povyazani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korupciyeyu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pravoporushennya</w:t>
              </w:r>
            </w:hyperlink>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здійсненні досудового розслідування запроваджено (протокол наради керівництва НПУ № 44 від 20.12.23)</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76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36</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XI.  Здійснення оперативно-розшукової діяльності</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Можливість задоволення працівниками поліції приватного інтересу свого або на користь третіх осіб під час  незаконного використання комп’ютерної техніки, програмного  забезпечення та інформаційно-телекомунікаційних систем</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 xml:space="preserve">Працівники поліції, використовуючи службові повноваження, мають можливість використання </w:t>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комп’ютерної техніки, програмного  забезпечення та інформаційно-телекомунікаційних систем  для  незаконного використання відповідної інформації (можливостей), з метою задоволення  приватного інтересу свого або на користь третіх осіб</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урегульованість внутрішнього алгоритму дій використання</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комп’ютерної техніки, програмного  забезпечення та інформаційно-телекомунікаційних систем</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2.Недостатні існуючі методи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працівників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1.Розроблено та ведемо в дію наказ НПУ про введення комплексної системи захисту інформації в системі ІПНП</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1.Розробка та затвердження графіку проведення перевірки використання працівниками ДКП інформаційно-телекомунікаційних систем з метою виключення можливості безпідставної роботи працівників поліції з інформаційно-телекомунікаційною системою (в приватних інтересах) в ДКП</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2.Забезпечення розгортання та налаштування внутрішньо-корпоративного месенджера</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3.Розробка методичних рекомендацій (інструкції) порядку проведення щоквартальних  звірок використання працівниками поліції отриманої в системі інформації</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4.Блокування службової поштової скриньки у разі виявлення здійснення розсилки інформації, поширення якої заборонено чинним законодавством,</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використання службової пошти за не призначенням</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5.Проведення додаткових навчань працівників поліції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30.03.22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01.12.22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30.03.22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rPr>
                <w:rFonts w:ascii="Times New Roman" w:hAnsi="Times New Roman"/>
                <w:sz w:val="14"/>
                <w:szCs w:val="14"/>
                <w:lang w:val="uk-UA"/>
              </w:rPr>
            </w:pPr>
            <w:r>
              <w:rPr>
                <w:rFonts w:ascii="Times New Roman" w:hAnsi="Times New Roman"/>
                <w:sz w:val="14"/>
                <w:szCs w:val="14"/>
                <w:lang w:val="uk-UA"/>
              </w:rPr>
              <w:t>У разі вияву розсилки</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t>Розроблено графік перевірки використання працівниками ДКП інформаційно-телекомунікаційних систем</w:t>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t>Розгорнуто та налаштувано внутрішньо-корпоративний месенджер</w:t>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t>Методичні рекомендації розроблено</w:t>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t>Блокування службової поштової скриньки здійснено</w:t>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6" w:right="-108" w:hanging="0"/>
              <w:jc w:val="center"/>
              <w:rPr>
                <w:rFonts w:ascii="Times New Roman" w:hAnsi="Times New Roman"/>
                <w:sz w:val="14"/>
                <w:szCs w:val="14"/>
                <w:lang w:val="uk-UA"/>
              </w:rPr>
            </w:pPr>
            <w:r>
              <w:rPr>
                <w:rFonts w:ascii="Times New Roman" w:hAnsi="Times New Roman"/>
                <w:sz w:val="14"/>
                <w:szCs w:val="14"/>
                <w:lang w:val="uk-UA"/>
              </w:rPr>
              <w:t>15.03.23</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30.09.22</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14.03.23</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8" w:hanging="0"/>
              <w:jc w:val="center"/>
              <w:rPr>
                <w:rFonts w:ascii="Times New Roman" w:hAnsi="Times New Roman"/>
                <w:sz w:val="14"/>
                <w:szCs w:val="14"/>
                <w:lang w:val="uk-UA"/>
              </w:rPr>
            </w:pPr>
            <w:r>
              <w:rPr>
                <w:rFonts w:ascii="Times New Roman" w:hAnsi="Times New Roman"/>
                <w:sz w:val="14"/>
                <w:szCs w:val="14"/>
                <w:lang w:val="uk-UA"/>
              </w:rPr>
              <w:t>30.06.24</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2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6" w:right="7" w:hanging="0"/>
              <w:jc w:val="both"/>
              <w:rPr>
                <w:rFonts w:ascii="Times New Roman" w:hAnsi="Times New Roman"/>
                <w:sz w:val="14"/>
                <w:szCs w:val="14"/>
                <w:lang w:val="uk-UA"/>
              </w:rPr>
            </w:pPr>
            <w:r>
              <w:rPr>
                <w:rFonts w:ascii="Times New Roman" w:hAnsi="Times New Roman"/>
                <w:sz w:val="14"/>
                <w:szCs w:val="14"/>
                <w:lang w:val="uk-UA"/>
              </w:rPr>
              <w:t xml:space="preserve">Розроблено та затверджено графік щоквартальної перевірки використання працівниками доступу до ІС «Інформаційний портал НПУ» на 2023 рік від 15.03.2023 № 3140/38/21-2023 та графік щопіврічної звірки від 15.03.2023 № 3138/38/13-2023 </w:t>
            </w:r>
          </w:p>
          <w:p>
            <w:pPr>
              <w:pStyle w:val="Normal"/>
              <w:widowControl w:val="false"/>
              <w:spacing w:lineRule="auto" w:line="240" w:before="0" w:after="0"/>
              <w:ind w:left="16" w:right="7" w:hanging="0"/>
              <w:jc w:val="both"/>
              <w:rPr>
                <w:rFonts w:ascii="Times New Roman" w:hAnsi="Times New Roman" w:eastAsia="Courier New"/>
                <w:sz w:val="14"/>
                <w:szCs w:val="14"/>
                <w:lang w:val="uk-UA" w:bidi="uk-UA"/>
              </w:rPr>
            </w:pPr>
            <w:r>
              <w:rPr>
                <w:rFonts w:ascii="Times New Roman" w:hAnsi="Times New Roman"/>
                <w:sz w:val="14"/>
                <w:szCs w:val="14"/>
                <w:lang w:val="uk-UA"/>
              </w:rPr>
              <w:t>ДКП НПУ з</w:t>
            </w:r>
            <w:r>
              <w:rPr>
                <w:rFonts w:eastAsia="Courier New" w:ascii="Times New Roman" w:hAnsi="Times New Roman"/>
                <w:sz w:val="14"/>
                <w:szCs w:val="14"/>
                <w:lang w:val="uk-UA" w:bidi="uk-UA"/>
              </w:rPr>
              <w:t xml:space="preserve">а результатами отриманих відомостей з ДІАП (вх. 3758/еп від 15.05.2023) проведено верифікацію фактів використання облікових записів в системі ІПНП під час перебування працівників у відпустках та на лікарняних (доповідна записка СЗК ДКП                         від 29.05.2023 № 6962/38/21/01-2023)  </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eastAsia="Courier New" w:ascii="Times New Roman" w:hAnsi="Times New Roman"/>
                <w:sz w:val="14"/>
                <w:szCs w:val="14"/>
                <w:lang w:val="uk-UA" w:bidi="uk-UA"/>
              </w:rPr>
              <w:t xml:space="preserve"> </w:t>
            </w:r>
            <w:r>
              <w:rPr>
                <w:rFonts w:ascii="Times New Roman" w:hAnsi="Times New Roman"/>
                <w:spacing w:val="-8"/>
                <w:sz w:val="14"/>
                <w:szCs w:val="14"/>
                <w:shd w:fill="FFFFFF" w:val="clear"/>
                <w:lang w:val="uk-UA" w:eastAsia="ru-RU"/>
              </w:rPr>
              <w:t xml:space="preserve">В ДКП НПУ призначено осіб, відповідальних за організацію блокування доступу до системи  </w:t>
            </w:r>
            <w:r>
              <w:rPr>
                <w:rFonts w:ascii="Times New Roman" w:hAnsi="Times New Roman"/>
                <w:sz w:val="14"/>
                <w:szCs w:val="14"/>
                <w:lang w:val="uk-UA"/>
              </w:rPr>
              <w:t>ІПНП</w:t>
            </w:r>
            <w:r>
              <w:rPr>
                <w:rFonts w:ascii="Times New Roman" w:hAnsi="Times New Roman"/>
                <w:spacing w:val="-8"/>
                <w:sz w:val="14"/>
                <w:szCs w:val="14"/>
                <w:shd w:fill="FFFFFF" w:val="clear"/>
                <w:lang w:val="uk-UA" w:eastAsia="ru-RU"/>
              </w:rPr>
              <w:t xml:space="preserve"> користувачів структурних підрозділів ДКП, які перебувають у відпустках, закордонних відрядженнях, на лікарняних (наказ ДКП НПУ від 30.06.2023 № 420 «Про організацію блокування доступу до системи ІПНП»).</w:t>
            </w:r>
          </w:p>
          <w:p>
            <w:pPr>
              <w:pStyle w:val="Normal"/>
              <w:widowControl w:val="false"/>
              <w:spacing w:lineRule="auto" w:line="240" w:before="0" w:after="0"/>
              <w:ind w:left="39" w:hanging="0"/>
              <w:jc w:val="both"/>
              <w:rPr>
                <w:rFonts w:ascii="Times New Roman" w:hAnsi="Times New Roman"/>
                <w:spacing w:val="-8"/>
                <w:sz w:val="14"/>
                <w:szCs w:val="14"/>
                <w:shd w:fill="FFFFFF" w:val="clear"/>
                <w:lang w:val="uk-UA" w:eastAsia="ru-RU"/>
              </w:rPr>
            </w:pPr>
            <w:r>
              <w:rPr>
                <w:rFonts w:ascii="Times New Roman" w:hAnsi="Times New Roman"/>
                <w:sz w:val="14"/>
                <w:szCs w:val="14"/>
                <w:lang w:val="uk-UA"/>
              </w:rPr>
              <w:t>Сектором запобігання корупції (далі - СЗК) ДКП НПУ з</w:t>
            </w:r>
            <w:r>
              <w:rPr>
                <w:rFonts w:eastAsia="Courier New" w:ascii="Times New Roman" w:hAnsi="Times New Roman"/>
                <w:sz w:val="14"/>
                <w:szCs w:val="14"/>
                <w:lang w:val="uk-UA" w:bidi="uk-UA"/>
              </w:rPr>
              <w:t>а результатами отриманих відомостей з ДІАП</w:t>
              <w:br/>
              <w:t xml:space="preserve">(вх. 7172/еп від 28.08.2023) проведено верифікацію фактів використання облікових записів в системі ІПНП </w:t>
              <w:br/>
              <w:t>під час перебування працівників</w:t>
              <w:br/>
              <w:t xml:space="preserve">у відпустках та на лікарняних </w:t>
              <w:br/>
              <w:t xml:space="preserve">за ІІ квартал 2023 року (доповідна записка СЗК ДКП  від 04.09.2023 </w:t>
              <w:br/>
              <w:t xml:space="preserve">№ 11799/38/21/02-2023). </w:t>
            </w:r>
          </w:p>
          <w:p>
            <w:pPr>
              <w:pStyle w:val="Normal"/>
              <w:widowControl w:val="false"/>
              <w:spacing w:lineRule="auto" w:line="240" w:before="0" w:after="0"/>
              <w:ind w:left="39" w:hanging="0"/>
              <w:jc w:val="both"/>
              <w:rPr>
                <w:rFonts w:ascii="Times New Roman" w:hAnsi="Times New Roman" w:eastAsia="Courier New"/>
                <w:sz w:val="14"/>
                <w:szCs w:val="14"/>
                <w:lang w:val="uk-UA" w:eastAsia="uk-UA" w:bidi="uk-UA"/>
              </w:rPr>
            </w:pPr>
            <w:r>
              <w:rPr>
                <w:rFonts w:ascii="Times New Roman" w:hAnsi="Times New Roman"/>
                <w:sz w:val="14"/>
                <w:szCs w:val="14"/>
                <w:lang w:val="uk-UA"/>
              </w:rPr>
              <w:t xml:space="preserve"> </w:t>
            </w:r>
            <w:r>
              <w:rPr>
                <w:rFonts w:ascii="Times New Roman" w:hAnsi="Times New Roman"/>
                <w:sz w:val="14"/>
                <w:szCs w:val="14"/>
                <w:lang w:val="uk-UA"/>
              </w:rPr>
              <w:t>СЗК з</w:t>
            </w:r>
            <w:r>
              <w:rPr>
                <w:rFonts w:eastAsia="Courier New" w:ascii="Times New Roman" w:hAnsi="Times New Roman"/>
                <w:sz w:val="14"/>
                <w:szCs w:val="14"/>
                <w:lang w:val="uk-UA" w:bidi="uk-UA"/>
              </w:rPr>
              <w:t xml:space="preserve">а результатами отриманих відомостей з ДІАП (вх. 9762/сев від 28.11.2023) проведено верифікацію фактів використання облікових записів в системі ІПНП </w:t>
              <w:br/>
              <w:t>під час перебування працівників</w:t>
              <w:br/>
              <w:t xml:space="preserve">у відпустках та на лікарняних </w:t>
              <w:br/>
              <w:t>за ІІI квартал 2023 року (доповідна записка СЗК ДКП ).</w:t>
            </w:r>
          </w:p>
          <w:p>
            <w:pPr>
              <w:pStyle w:val="Normal"/>
              <w:widowControl w:val="false"/>
              <w:spacing w:lineRule="auto" w:line="240" w:before="0" w:after="0"/>
              <w:ind w:left="39"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Розроблено та затверджено графік проведення звірки доступу працівників ДКП до ІПНП на 2024 рік (№ СЕД-1253/01-2023 від 27.12.2023).</w:t>
            </w:r>
          </w:p>
          <w:p>
            <w:pPr>
              <w:pStyle w:val="Normal"/>
              <w:widowControl w:val="false"/>
              <w:tabs>
                <w:tab w:val="clear" w:pos="708"/>
                <w:tab w:val="left" w:pos="240" w:leader="none"/>
                <w:tab w:val="left" w:pos="993" w:leader="none"/>
              </w:tabs>
              <w:spacing w:lineRule="auto" w:line="240" w:before="0" w:after="0"/>
              <w:ind w:right="13" w:hanging="0"/>
              <w:jc w:val="both"/>
              <w:rPr>
                <w:rFonts w:ascii="Times New Roman" w:hAnsi="Times New Roman"/>
                <w:spacing w:val="-8"/>
                <w:sz w:val="14"/>
                <w:szCs w:val="14"/>
                <w:shd w:fill="FFFFFF" w:val="clear"/>
                <w:lang w:val="uk-UA" w:eastAsia="ru-RU" w:bidi="uk-UA"/>
              </w:rPr>
            </w:pPr>
            <w:r>
              <w:rPr>
                <w:rFonts w:ascii="Times New Roman" w:hAnsi="Times New Roman"/>
                <w:spacing w:val="-8"/>
                <w:sz w:val="14"/>
                <w:szCs w:val="14"/>
                <w:shd w:fill="FFFFFF" w:val="clear"/>
                <w:lang w:val="uk-UA" w:eastAsia="ru-RU" w:bidi="uk-UA"/>
              </w:rPr>
              <w:t xml:space="preserve">Керівниками територіальних (відокремлених) підрозділів ДКП НПУ забезпечено особистий контроль використання особовим складом інформаційних баз НПУ, недопущення використання працівниками ІПНП під час перебування у відпустці чи на лікарняному (протокол оперативної наради керівництва ДКП НПУ від 08.02.2024 № 2 (СЕД-6693/01-2024 </w:t>
              <w:br/>
              <w:t>від 12.02.2024).</w:t>
            </w:r>
          </w:p>
          <w:p>
            <w:pPr>
              <w:pStyle w:val="Normal"/>
              <w:widowControl w:val="false"/>
              <w:spacing w:lineRule="auto" w:line="240" w:before="0" w:after="0"/>
              <w:jc w:val="both"/>
              <w:rPr>
                <w:rFonts w:eastAsia="Courier New"/>
                <w:lang w:val="uk-UA" w:bidi="uk-UA"/>
              </w:rPr>
            </w:pPr>
            <w:r>
              <w:rPr>
                <w:rFonts w:eastAsia="Courier New"/>
                <w:lang w:val="uk-UA" w:bidi="uk-UA"/>
              </w:rPr>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tabs>
                <w:tab w:val="clear" w:pos="708"/>
                <w:tab w:val="left" w:pos="240" w:leader="none"/>
                <w:tab w:val="left" w:pos="993" w:leader="none"/>
              </w:tabs>
              <w:spacing w:lineRule="auto" w:line="240" w:before="0" w:after="0"/>
              <w:ind w:right="13" w:hanging="0"/>
              <w:jc w:val="both"/>
              <w:rPr>
                <w:rFonts w:ascii="Times New Roman" w:hAnsi="Times New Roman"/>
                <w:spacing w:val="-8"/>
                <w:sz w:val="14"/>
                <w:szCs w:val="14"/>
                <w:shd w:fill="FFFFFF" w:val="clear"/>
                <w:lang w:val="uk-UA" w:eastAsia="ru-RU" w:bidi="uk-UA"/>
              </w:rPr>
            </w:pPr>
            <w:r>
              <w:rPr>
                <w:rFonts w:ascii="Times New Roman" w:hAnsi="Times New Roman"/>
                <w:spacing w:val="-8"/>
                <w:sz w:val="14"/>
                <w:szCs w:val="14"/>
                <w:shd w:fill="FFFFFF" w:val="clear"/>
                <w:lang w:val="uk-UA" w:eastAsia="ru-RU" w:bidi="uk-UA"/>
              </w:rPr>
              <w:t>Керівниками територіальних (відокремлених) підрозділів ДКП НПУ додатково  забезпечено особистий контроль використання особовим складом інформаційних баз НПУ, недопущення використання працівниками ІПНП під час перебування у відпустці чи на лікарняному (протокол оперативної наради керівництва ДКП НПУ від 25.05.2023 № 25)</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Забезпечено функціонування відомчої електронної пошти, яка має сучасні методи захисту від спаму, атак нульового дня та дозволяє здійснювати обмін шифрованими повідомленнями в рамках одного доменного імені</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z w:val="14"/>
                <w:szCs w:val="14"/>
                <w:lang w:val="uk-UA"/>
              </w:rPr>
              <w:t>У ДКП створено робочу групу                      з розгортання та налаштування внутрішньо-корпоративного месенджера (наказ ДКП НПУ від 26.04.2023 № 260 «Про створення робочої групи                      з упровадження системи захищеного внутрішнього месенджеру ДКП»).</w:t>
            </w:r>
            <w:r>
              <w:rPr>
                <w:rFonts w:ascii="Times New Roman" w:hAnsi="Times New Roman"/>
                <w:spacing w:val="-8"/>
                <w:sz w:val="14"/>
                <w:szCs w:val="14"/>
                <w:shd w:fill="FFFFFF" w:val="clear"/>
                <w:lang w:val="uk-UA" w:eastAsia="ru-RU"/>
              </w:rPr>
              <w:t xml:space="preserve"> </w:t>
            </w:r>
          </w:p>
          <w:p>
            <w:pPr>
              <w:pStyle w:val="Normal"/>
              <w:widowControl w:val="false"/>
              <w:spacing w:lineRule="auto" w:line="240" w:before="0" w:after="0"/>
              <w:jc w:val="both"/>
              <w:rPr>
                <w:rFonts w:ascii="Times New Roman" w:hAnsi="Times New Roman"/>
                <w:sz w:val="14"/>
                <w:szCs w:val="14"/>
                <w:lang w:val="ru-RU"/>
              </w:rPr>
            </w:pPr>
            <w:r>
              <w:rPr>
                <w:rFonts w:ascii="Times New Roman" w:hAnsi="Times New Roman"/>
                <w:sz w:val="14"/>
                <w:szCs w:val="14"/>
                <w:lang w:val="ru-RU"/>
              </w:rPr>
              <w:t>Робочою групою ДКП в тестовому режимі проведено впровадження системи чат-додаток для конфіденційного корпоративного спілкування  та групових чатів (Протокол 27 засідання робочої групи з впровадження корпоративного месенджеру ДКП від 02.06.2023                        № 7271/38/13/02-2023 )</w:t>
            </w:r>
          </w:p>
          <w:p>
            <w:pPr>
              <w:pStyle w:val="Normal"/>
              <w:widowControl w:val="false"/>
              <w:spacing w:lineRule="auto" w:line="240" w:before="0" w:after="0"/>
              <w:jc w:val="both"/>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jc w:val="both"/>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 ДКП розроблено та затверджено методичні рекомендації від 14.03.2023 №3033/38/21-2023 щодо порядку проведення звірок використання працівниками доступу до ІС «Інформаційний портал НПУ».</w:t>
            </w:r>
          </w:p>
          <w:p>
            <w:pPr>
              <w:pStyle w:val="Normal"/>
              <w:widowControl w:val="false"/>
              <w:spacing w:lineRule="auto" w:line="240" w:before="0" w:after="0"/>
              <w:jc w:val="both"/>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 xml:space="preserve">З метою недопущення витоку, блокування або знищення інформації, що оброблюється на робочих станціях працівників у ДКП посилено заходи </w:t>
              <w:br/>
              <w:t>щодо кібербезпеки (доповідна записка ДКП  від 05.09.2023 № 11843/38/12-2023).</w:t>
            </w:r>
            <w:r>
              <w:rPr>
                <w:rFonts w:ascii="Times New Roman" w:hAnsi="Times New Roman"/>
                <w:sz w:val="14"/>
                <w:szCs w:val="14"/>
                <w:lang w:val="uk-UA"/>
              </w:rPr>
              <w:t xml:space="preserve"> У разі виявлення здійснення розсилки буде вжито заходів з блокування службової поштової скриньки.</w:t>
            </w:r>
          </w:p>
          <w:p>
            <w:pPr>
              <w:pStyle w:val="Normal"/>
              <w:widowControl w:val="false"/>
              <w:tabs>
                <w:tab w:val="clear" w:pos="708"/>
                <w:tab w:val="left" w:pos="851" w:leader="none"/>
                <w:tab w:val="left" w:pos="1134" w:leader="none"/>
              </w:tabs>
              <w:spacing w:lineRule="auto" w:line="240" w:before="0" w:after="0"/>
              <w:jc w:val="both"/>
              <w:rPr>
                <w:rFonts w:ascii="Times New Roman" w:hAnsi="Times New Roman"/>
                <w:spacing w:val="-8"/>
                <w:sz w:val="14"/>
                <w:szCs w:val="14"/>
                <w:shd w:fill="FFFFFF" w:val="clear"/>
                <w:lang w:val="uk-UA" w:eastAsia="ru-RU" w:bidi="uk-UA"/>
              </w:rPr>
            </w:pPr>
            <w:r>
              <w:rPr>
                <w:rFonts w:ascii="Times New Roman" w:hAnsi="Times New Roman"/>
                <w:spacing w:val="-8"/>
                <w:sz w:val="14"/>
                <w:szCs w:val="14"/>
                <w:shd w:fill="FFFFFF" w:val="clear"/>
                <w:lang w:val="uk-UA" w:eastAsia="ru-RU" w:bidi="uk-UA"/>
              </w:rPr>
              <w:t xml:space="preserve">Керівниками територіальних (відокремлених) підрозділів ДКП НПУ забезпечено особистий контроль використання особовим складом інформаційних баз НПУ, недопущення використання працівниками ІПНП під час перебування у відпустці чи на лікарняному (протокол оперативної наради керівництва ДКП НПУ від 08.02.2024 № 2  (СЕД-6693/01-2024 від 12.02.2024); № </w:t>
            </w:r>
            <w:r>
              <w:rPr>
                <w:rFonts w:ascii="Times New Roman" w:hAnsi="Times New Roman"/>
                <w:bCs/>
                <w:sz w:val="14"/>
                <w:szCs w:val="14"/>
                <w:lang w:val="uk-UA"/>
              </w:rPr>
              <w:t>6 від 02.04.2024 (СЕД-10359/01-2024 від 05.04.2024</w:t>
            </w:r>
            <w:r>
              <w:rPr>
                <w:rFonts w:ascii="Times New Roman" w:hAnsi="Times New Roman"/>
                <w:spacing w:val="-8"/>
                <w:sz w:val="14"/>
                <w:szCs w:val="14"/>
                <w:shd w:fill="FFFFFF" w:val="clear"/>
                <w:lang w:val="uk-UA" w:eastAsia="ru-RU" w:bidi="uk-UA"/>
              </w:rPr>
              <w:t>).</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 xml:space="preserve">В ДКП НПУ на постійній основі проводиться блокування доступу </w:t>
              <w:br/>
              <w:t xml:space="preserve">до системи  </w:t>
            </w:r>
            <w:r>
              <w:rPr>
                <w:rFonts w:ascii="Times New Roman" w:hAnsi="Times New Roman"/>
                <w:sz w:val="14"/>
                <w:szCs w:val="14"/>
                <w:lang w:val="uk-UA"/>
              </w:rPr>
              <w:t>ІПНП</w:t>
            </w:r>
            <w:r>
              <w:rPr>
                <w:rFonts w:ascii="Times New Roman" w:hAnsi="Times New Roman"/>
                <w:spacing w:val="-8"/>
                <w:sz w:val="14"/>
                <w:szCs w:val="14"/>
                <w:shd w:fill="FFFFFF" w:val="clear"/>
                <w:lang w:val="uk-UA" w:eastAsia="ru-RU"/>
              </w:rPr>
              <w:t xml:space="preserve"> користувачів структурних підрозділів ДКП, які перебувають у відпустках, закордонних відрядженнях, на лікарняних (наказ ДКП НПУ від 30.06.2023 № 420 «Про організацію блокування доступу до системи ІПНП»).</w:t>
            </w:r>
          </w:p>
          <w:p>
            <w:pPr>
              <w:pStyle w:val="Normal"/>
              <w:widowControl w:val="false"/>
              <w:tabs>
                <w:tab w:val="clear" w:pos="708"/>
                <w:tab w:val="left" w:pos="240" w:leader="none"/>
                <w:tab w:val="left" w:pos="993" w:leader="none"/>
              </w:tabs>
              <w:spacing w:lineRule="auto" w:line="240" w:before="0" w:after="0"/>
              <w:ind w:right="13" w:hanging="0"/>
              <w:jc w:val="both"/>
              <w:rPr>
                <w:rFonts w:ascii="Times New Roman" w:hAnsi="Times New Roman"/>
                <w:sz w:val="14"/>
                <w:szCs w:val="14"/>
                <w:lang w:val="uk-UA"/>
              </w:rPr>
            </w:pPr>
            <w:r>
              <w:rPr>
                <w:rFonts w:eastAsia="Courier New" w:ascii="Times New Roman" w:hAnsi="Times New Roman"/>
                <w:sz w:val="14"/>
                <w:szCs w:val="14"/>
                <w:lang w:val="uk-UA" w:bidi="uk-UA"/>
              </w:rPr>
              <w:t xml:space="preserve">Розроблено та затверджено графік </w:t>
            </w:r>
            <w:r>
              <w:rPr>
                <w:rFonts w:ascii="Times New Roman" w:hAnsi="Times New Roman"/>
                <w:spacing w:val="-8"/>
                <w:sz w:val="14"/>
                <w:szCs w:val="14"/>
                <w:shd w:fill="FFFFFF" w:val="clear"/>
                <w:lang w:val="uk-UA" w:eastAsia="ru-RU" w:bidi="uk-UA"/>
              </w:rPr>
              <w:t xml:space="preserve">проведення щоквартальної перевірки використання працівниками ДКП </w:t>
            </w:r>
            <w:r>
              <w:rPr>
                <w:rFonts w:ascii="Times New Roman" w:hAnsi="Times New Roman"/>
                <w:sz w:val="14"/>
                <w:szCs w:val="14"/>
                <w:lang w:val="uk-UA"/>
              </w:rPr>
              <w:t xml:space="preserve">доступу до </w:t>
            </w:r>
            <w:r>
              <w:rPr>
                <w:rFonts w:ascii="Times New Roman" w:hAnsi="Times New Roman"/>
                <w:sz w:val="14"/>
                <w:szCs w:val="14"/>
                <w:lang w:val="uk-UA" w:eastAsia="ru-RU" w:bidi="uk-UA"/>
              </w:rPr>
              <w:t xml:space="preserve">інформаційно-телекомунікаційних систем </w:t>
            </w:r>
            <w:r>
              <w:rPr>
                <w:rFonts w:ascii="Times New Roman" w:hAnsi="Times New Roman"/>
                <w:sz w:val="14"/>
                <w:szCs w:val="14"/>
                <w:lang w:val="uk-UA"/>
              </w:rPr>
              <w:t>«Інформаційний портал Національної поліції України»</w:t>
            </w:r>
            <w:r>
              <w:rPr>
                <w:rFonts w:ascii="Times New Roman" w:hAnsi="Times New Roman"/>
                <w:sz w:val="14"/>
                <w:szCs w:val="14"/>
                <w:lang w:val="uk-UA" w:eastAsia="ru-RU" w:bidi="uk-UA"/>
              </w:rPr>
              <w:t xml:space="preserve"> </w:t>
            </w:r>
            <w:r>
              <w:rPr>
                <w:rFonts w:ascii="Times New Roman" w:hAnsi="Times New Roman"/>
                <w:sz w:val="14"/>
                <w:szCs w:val="14"/>
                <w:lang w:val="uk-UA"/>
              </w:rPr>
              <w:t>на 2024 рік  (СЕД-1253/01-2024  від 27.12.2023).</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До ДІАП направлено лист «Про поновлення доступу до інформаційно-комунікаційної системи «Інформаційний портал Національної поліції України» (СЕД 39135/02-2024 від 27.06.2024).</w:t>
            </w:r>
          </w:p>
          <w:p>
            <w:pPr>
              <w:pStyle w:val="Normal"/>
              <w:widowControl w:val="false"/>
              <w:spacing w:lineRule="auto" w:line="240" w:before="0" w:after="0"/>
              <w:jc w:val="both"/>
              <w:rPr>
                <w:lang w:val="uk-UA"/>
              </w:rPr>
            </w:pPr>
            <w:r>
              <w:rPr>
                <w:rFonts w:ascii="Times New Roman" w:hAnsi="Times New Roman"/>
                <w:sz w:val="14"/>
                <w:szCs w:val="14"/>
                <w:lang w:val="uk-UA"/>
              </w:rPr>
              <w:t>Оновлено список користувачів інформаційно-комунікаційної системи «Інформаційний портал Національної поліції України ДКП (СЕД 19566-2024 від 28.06.2024).</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особовим складом підрозділів ДКП у 1 кварталі 2023 року проведено 6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лист ДКП НПУ 267/38/13/01-2023 від 09.01.2023- «Про посилення контролю доступу до комплексних систем відеоспостереження та відеоаналітики типу «Безпечне місто»;</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лист ДКП НПУ 333/38/21/01-2023 від 10.01.2023- «Про дотримання вимог статті 27, 28 Закону України «Про запобігання корупції»;</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лист ДКП НПУ 334/38/21/01-2023 від 10.01.2023 - «Про виконання заходів Антикорупційної програми Національної поліції України на 2022-2024 роки (типові ознаки корупціогенних факторів)»;</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лист ДКП НПУ 335/38/21/01-2023 від 10.01.2023«Про недопущення у підпорядкованих підрозділах «мобінгу» (цькування);</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лист ДКП НПУ 3137/38/7/01-2023 від 15.03.2023 «Про використання працівниками Департаменту кіберполіції Національної поліції України доступу до системи інформаційно-телекомунікаційної системи «Інформаційний портал Національної поліції України»;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лист ДКП НПУ 3234/38/21/01-2023 від 16.03.2023 «Про недопустимість несанкціонованого зняття інформації під час огляду електронно-інформаційних систем  або їх частин, мобільних терміналів систем зв’язку».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особовим складом підрозділів ДКП у 2 кварталі 2023 року проведено 4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 у т.ч. за темами:</w:t>
            </w:r>
          </w:p>
          <w:p>
            <w:pPr>
              <w:pStyle w:val="Normal"/>
              <w:widowControl w:val="false"/>
              <w:spacing w:lineRule="auto" w:line="240" w:before="0" w:after="0"/>
              <w:jc w:val="both"/>
              <w:rPr>
                <w:rFonts w:ascii="Times New Roman" w:hAnsi="Times New Roman"/>
                <w:sz w:val="14"/>
                <w:szCs w:val="14"/>
                <w:lang w:val="uk-UA" w:eastAsia="ru-RU"/>
              </w:rPr>
            </w:pPr>
            <w:r>
              <w:rPr>
                <w:rFonts w:ascii="Times New Roman" w:hAnsi="Times New Roman"/>
                <w:sz w:val="14"/>
                <w:szCs w:val="14"/>
                <w:lang w:val="uk-UA" w:eastAsia="ru-RU"/>
              </w:rPr>
              <w:t>20.04.2023 «Про дотримання заборон передбачених статтею 54 Закону України «Про запобігання корупції»;</w:t>
            </w:r>
          </w:p>
          <w:p>
            <w:pPr>
              <w:pStyle w:val="Normal"/>
              <w:widowControl w:val="false"/>
              <w:spacing w:lineRule="auto" w:line="240" w:before="0" w:after="0"/>
              <w:jc w:val="both"/>
              <w:rPr>
                <w:rFonts w:ascii="Times New Roman" w:hAnsi="Times New Roman"/>
                <w:sz w:val="14"/>
                <w:szCs w:val="14"/>
                <w:lang w:val="uk-UA"/>
              </w:rPr>
            </w:pPr>
            <w:bookmarkStart w:id="58" w:name="_Hlk137457690"/>
            <w:r>
              <w:rPr>
                <w:rFonts w:ascii="Times New Roman" w:hAnsi="Times New Roman"/>
                <w:sz w:val="14"/>
                <w:szCs w:val="14"/>
                <w:lang w:val="uk-UA" w:eastAsia="ru-RU"/>
              </w:rPr>
              <w:t>лист ДКП НПУ 5382/38/21/01-2023 від 27.04.2023</w:t>
            </w:r>
            <w:r>
              <w:rPr>
                <w:rFonts w:ascii="Times New Roman" w:hAnsi="Times New Roman"/>
                <w:spacing w:val="-8"/>
                <w:sz w:val="14"/>
                <w:szCs w:val="14"/>
                <w:shd w:fill="FFFFFF" w:val="clear"/>
                <w:lang w:val="uk-UA" w:eastAsia="ru-RU"/>
              </w:rPr>
              <w:t xml:space="preserve"> «</w:t>
            </w:r>
            <w:r>
              <w:rPr>
                <w:rFonts w:ascii="Times New Roman" w:hAnsi="Times New Roman"/>
                <w:sz w:val="14"/>
                <w:szCs w:val="14"/>
                <w:lang w:val="uk-UA" w:eastAsia="ru-RU"/>
              </w:rPr>
              <w:t xml:space="preserve">Про </w:t>
            </w:r>
            <w:bookmarkStart w:id="59" w:name="_Hlk117070939"/>
            <w:r>
              <w:rPr>
                <w:rFonts w:ascii="Times New Roman" w:hAnsi="Times New Roman"/>
                <w:sz w:val="14"/>
                <w:szCs w:val="14"/>
                <w:lang w:val="uk-UA"/>
              </w:rPr>
              <w:t>застосування окремих положень Закону України «Про запобігання корупції» стосовно заходів фінансового контролю»;</w:t>
            </w:r>
            <w:bookmarkEnd w:id="58"/>
            <w:bookmarkEnd w:id="59"/>
          </w:p>
          <w:p>
            <w:pPr>
              <w:pStyle w:val="Normal"/>
              <w:widowControl w:val="false"/>
              <w:tabs>
                <w:tab w:val="clear" w:pos="708"/>
                <w:tab w:val="left" w:pos="4820" w:leader="none"/>
              </w:tabs>
              <w:spacing w:lineRule="auto" w:line="240" w:before="0" w:after="0"/>
              <w:jc w:val="both"/>
              <w:rPr>
                <w:rFonts w:ascii="Times New Roman" w:hAnsi="Times New Roman"/>
                <w:sz w:val="14"/>
                <w:szCs w:val="14"/>
                <w:lang w:val="uk-UA" w:eastAsia="ru-RU"/>
              </w:rPr>
            </w:pPr>
            <w:r>
              <w:rPr>
                <w:rFonts w:ascii="Times New Roman" w:hAnsi="Times New Roman"/>
                <w:sz w:val="14"/>
                <w:szCs w:val="14"/>
                <w:lang w:val="uk-UA" w:eastAsia="ru-RU"/>
              </w:rPr>
              <w:t>лист ДКП НПУ 7714-38-21-01-2023</w:t>
              <w:br/>
              <w:t xml:space="preserve">від 14.06.2023 «Про підготовку посадових інструкцій»; </w:t>
            </w:r>
          </w:p>
          <w:p>
            <w:pPr>
              <w:pStyle w:val="Normal"/>
              <w:widowControl w:val="false"/>
              <w:tabs>
                <w:tab w:val="clear" w:pos="708"/>
                <w:tab w:val="left" w:pos="4820" w:leader="none"/>
              </w:tabs>
              <w:spacing w:lineRule="auto" w:line="240" w:before="0" w:after="0"/>
              <w:jc w:val="both"/>
              <w:rPr>
                <w:rFonts w:ascii="Times New Roman" w:hAnsi="Times New Roman"/>
                <w:sz w:val="14"/>
                <w:szCs w:val="14"/>
                <w:lang w:val="uk-UA"/>
              </w:rPr>
            </w:pPr>
            <w:r>
              <w:rPr>
                <w:rFonts w:ascii="Times New Roman" w:hAnsi="Times New Roman"/>
                <w:sz w:val="14"/>
                <w:szCs w:val="14"/>
                <w:lang w:val="uk-UA"/>
              </w:rPr>
              <w:t>лист ДКП НПУ 7716-38-21-01-2023 від 14.06.2023 «Про надсилання роз’яснення НАЗК від 19.05.2023 № 1»</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особовим складом підрозділів ДКП у 4 кварталі 2023 року проведено 2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 у т.ч. за темами:</w:t>
            </w:r>
          </w:p>
          <w:p>
            <w:pPr>
              <w:pStyle w:val="Normal"/>
              <w:widowControl w:val="false"/>
              <w:tabs>
                <w:tab w:val="clear" w:pos="708"/>
                <w:tab w:val="left" w:pos="4820" w:leader="none"/>
              </w:tabs>
              <w:spacing w:lineRule="auto" w:line="240" w:before="0" w:after="0"/>
              <w:jc w:val="both"/>
              <w:rPr>
                <w:rFonts w:ascii="Times New Roman" w:hAnsi="Times New Roman"/>
                <w:sz w:val="14"/>
                <w:szCs w:val="14"/>
                <w:lang w:val="ru-RU"/>
              </w:rPr>
            </w:pPr>
            <w:r>
              <w:rPr>
                <w:rFonts w:ascii="Times New Roman" w:hAnsi="Times New Roman"/>
                <w:bCs/>
                <w:sz w:val="14"/>
                <w:szCs w:val="14"/>
                <w:lang w:val="ru-RU"/>
              </w:rPr>
              <w:t xml:space="preserve">лист ДКП НПУ  </w:t>
            </w:r>
            <w:r>
              <w:rPr>
                <w:rFonts w:eastAsia="Courier New" w:ascii="Times New Roman" w:hAnsi="Times New Roman"/>
                <w:sz w:val="14"/>
                <w:szCs w:val="14"/>
                <w:lang w:val="ru-RU" w:bidi="uk-UA"/>
              </w:rPr>
              <w:t xml:space="preserve">10395/38/13/02-2023 від 07.08.2023 « Про доведення </w:t>
            </w:r>
            <w:r>
              <w:rPr>
                <w:rFonts w:ascii="Times New Roman" w:hAnsi="Times New Roman"/>
                <w:bCs/>
                <w:sz w:val="14"/>
                <w:szCs w:val="14"/>
                <w:lang w:val="ru-RU"/>
              </w:rPr>
              <w:t xml:space="preserve">вимог доповідної записки ДІАП НПУ щодо уникнення несанкціонованого доступу до </w:t>
            </w:r>
            <w:r>
              <w:rPr>
                <w:rFonts w:eastAsia="Courier New" w:ascii="Times New Roman" w:hAnsi="Times New Roman"/>
                <w:sz w:val="14"/>
                <w:szCs w:val="14"/>
                <w:lang w:val="ru-RU" w:bidi="uk-UA"/>
              </w:rPr>
              <w:t>ІКС «ІПНП»;</w:t>
            </w:r>
          </w:p>
          <w:p>
            <w:pPr>
              <w:pStyle w:val="Normal"/>
              <w:widowControl w:val="false"/>
              <w:tabs>
                <w:tab w:val="clear" w:pos="708"/>
                <w:tab w:val="left" w:pos="4820" w:leader="none"/>
              </w:tabs>
              <w:spacing w:lineRule="auto" w:line="240" w:before="0" w:after="0"/>
              <w:jc w:val="both"/>
              <w:rPr>
                <w:rFonts w:ascii="Times New Roman" w:hAnsi="Times New Roman"/>
                <w:sz w:val="14"/>
                <w:szCs w:val="14"/>
                <w:lang w:val="ru-RU"/>
              </w:rPr>
            </w:pPr>
            <w:r>
              <w:rPr>
                <w:rFonts w:ascii="Times New Roman" w:hAnsi="Times New Roman"/>
                <w:sz w:val="14"/>
                <w:szCs w:val="14"/>
                <w:lang w:val="ru-RU"/>
              </w:rPr>
              <w:t>лист ДКП НПУ 12715/38/21/01-2023 від 21.09.2023 «Про дотримання заборон передбачених статтею 54 Закону України «Про запобігання корупції» в умовах дії правового режиму воєнного стану».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особовим складом підрозділів ДКП у 1 кварталі 2024 року проведено 7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 у т.ч. за темами:</w:t>
            </w:r>
          </w:p>
          <w:p>
            <w:pPr>
              <w:pStyle w:val="Normal"/>
              <w:widowControl w:val="false"/>
              <w:numPr>
                <w:ilvl w:val="0"/>
                <w:numId w:val="0"/>
              </w:numPr>
              <w:spacing w:lineRule="auto" w:line="240" w:before="0" w:after="0"/>
              <w:jc w:val="both"/>
              <w:outlineLvl w:val="0"/>
              <w:rPr>
                <w:rFonts w:ascii="Times New Roman" w:hAnsi="Times New Roman"/>
                <w:sz w:val="14"/>
                <w:szCs w:val="14"/>
                <w:lang w:val="uk-UA" w:eastAsia="ru-RU"/>
              </w:rPr>
            </w:pPr>
            <w:r>
              <w:rPr>
                <w:rFonts w:ascii="Times New Roman" w:hAnsi="Times New Roman"/>
                <w:sz w:val="14"/>
                <w:szCs w:val="14"/>
                <w:lang w:val="uk-UA" w:eastAsia="ru-RU"/>
              </w:rPr>
              <w:t xml:space="preserve">лист ДКП НПУ </w:t>
            </w:r>
            <w:r>
              <w:rPr>
                <w:rFonts w:ascii="Times New Roman" w:hAnsi="Times New Roman"/>
                <w:sz w:val="14"/>
                <w:szCs w:val="14"/>
                <w:lang w:val="uk-UA"/>
              </w:rPr>
              <w:t>СЕД-2912/02-2024 від 26.01.2024</w:t>
            </w:r>
            <w:r>
              <w:rPr>
                <w:rFonts w:ascii="Times New Roman" w:hAnsi="Times New Roman"/>
                <w:sz w:val="14"/>
                <w:szCs w:val="14"/>
                <w:lang w:val="uk-UA" w:eastAsia="ru-RU"/>
              </w:rPr>
              <w:t xml:space="preserve"> «</w:t>
            </w:r>
            <w:r>
              <w:rPr>
                <w:rFonts w:ascii="Times New Roman" w:hAnsi="Times New Roman"/>
                <w:bCs/>
                <w:sz w:val="14"/>
                <w:szCs w:val="14"/>
                <w:lang w:val="uk-UA"/>
              </w:rPr>
              <w:t>Порядок подання декларації особою, яка претендує на зайняття посади, для проведення спеціальної перевірки</w:t>
            </w:r>
            <w:r>
              <w:rPr>
                <w:rFonts w:ascii="Times New Roman" w:hAnsi="Times New Roman"/>
                <w:sz w:val="14"/>
                <w:szCs w:val="14"/>
                <w:lang w:val="uk-UA" w:eastAsia="ru-RU"/>
              </w:rPr>
              <w:t>»;</w:t>
            </w:r>
          </w:p>
          <w:p>
            <w:pPr>
              <w:pStyle w:val="Normal"/>
              <w:widowControl w:val="false"/>
              <w:numPr>
                <w:ilvl w:val="0"/>
                <w:numId w:val="0"/>
              </w:numPr>
              <w:spacing w:lineRule="auto" w:line="240" w:before="0" w:after="0"/>
              <w:jc w:val="both"/>
              <w:outlineLvl w:val="0"/>
              <w:rPr>
                <w:rFonts w:ascii="Times New Roman" w:hAnsi="Times New Roman"/>
                <w:sz w:val="14"/>
                <w:szCs w:val="14"/>
                <w:lang w:val="uk-UA" w:eastAsia="ru-RU"/>
              </w:rPr>
            </w:pPr>
            <w:r>
              <w:rPr>
                <w:rFonts w:ascii="Times New Roman" w:hAnsi="Times New Roman"/>
                <w:sz w:val="14"/>
                <w:szCs w:val="14"/>
                <w:lang w:val="uk-UA" w:eastAsia="ru-RU"/>
              </w:rPr>
              <w:t xml:space="preserve">лист ДКП НПУ </w:t>
            </w:r>
            <w:r>
              <w:rPr>
                <w:rFonts w:ascii="Times New Roman" w:hAnsi="Times New Roman"/>
                <w:sz w:val="14"/>
                <w:szCs w:val="14"/>
                <w:lang w:val="uk-UA"/>
              </w:rPr>
              <w:t>СЕД-2913/02-2024 від 26.01.2024</w:t>
            </w:r>
            <w:r>
              <w:rPr>
                <w:rFonts w:ascii="Times New Roman" w:hAnsi="Times New Roman"/>
                <w:sz w:val="14"/>
                <w:szCs w:val="14"/>
                <w:lang w:val="uk-UA" w:eastAsia="ru-RU"/>
              </w:rPr>
              <w:t xml:space="preserve"> «</w:t>
            </w:r>
            <w:r>
              <w:rPr>
                <w:rFonts w:ascii="Times New Roman" w:hAnsi="Times New Roman"/>
                <w:bCs/>
                <w:sz w:val="14"/>
                <w:szCs w:val="14"/>
                <w:lang w:val="uk-UA"/>
              </w:rPr>
              <w:t>Загальні положення щодо відображення відомостей про об’єкти декларування</w:t>
            </w:r>
            <w:r>
              <w:rPr>
                <w:rFonts w:ascii="Times New Roman" w:hAnsi="Times New Roman"/>
                <w:sz w:val="14"/>
                <w:szCs w:val="14"/>
                <w:lang w:val="uk-UA" w:eastAsia="ru-RU"/>
              </w:rPr>
              <w:t>»;</w:t>
            </w:r>
          </w:p>
          <w:p>
            <w:pPr>
              <w:pStyle w:val="Normal"/>
              <w:widowControl w:val="false"/>
              <w:numPr>
                <w:ilvl w:val="0"/>
                <w:numId w:val="0"/>
              </w:numPr>
              <w:spacing w:lineRule="auto" w:line="240" w:before="0" w:after="0"/>
              <w:jc w:val="both"/>
              <w:outlineLvl w:val="0"/>
              <w:rPr>
                <w:rFonts w:ascii="Times New Roman" w:hAnsi="Times New Roman"/>
                <w:sz w:val="14"/>
                <w:szCs w:val="14"/>
                <w:lang w:val="uk-UA" w:eastAsia="ru-RU"/>
              </w:rPr>
            </w:pPr>
            <w:r>
              <w:rPr>
                <w:rFonts w:ascii="Times New Roman" w:hAnsi="Times New Roman"/>
                <w:sz w:val="14"/>
                <w:szCs w:val="14"/>
                <w:lang w:val="uk-UA" w:eastAsia="ru-RU"/>
              </w:rPr>
              <w:t xml:space="preserve">лист ДКП НПУ </w:t>
            </w:r>
            <w:r>
              <w:rPr>
                <w:rFonts w:ascii="Times New Roman" w:hAnsi="Times New Roman"/>
                <w:sz w:val="14"/>
                <w:szCs w:val="14"/>
                <w:lang w:val="uk-UA"/>
              </w:rPr>
              <w:t>СЕД-2914/02-2024 від 26.01.2024</w:t>
            </w:r>
            <w:r>
              <w:rPr>
                <w:rFonts w:ascii="Times New Roman" w:hAnsi="Times New Roman"/>
                <w:sz w:val="14"/>
                <w:szCs w:val="14"/>
                <w:lang w:val="uk-UA" w:eastAsia="ru-RU"/>
              </w:rPr>
              <w:t xml:space="preserve"> «</w:t>
            </w:r>
            <w:r>
              <w:rPr>
                <w:rFonts w:ascii="Times New Roman" w:hAnsi="Times New Roman"/>
                <w:bCs/>
                <w:kern w:val="2"/>
                <w:sz w:val="14"/>
                <w:szCs w:val="14"/>
                <w:lang w:val="uk-UA"/>
              </w:rPr>
              <w:t>Види декларацій та порядок їх подання</w:t>
            </w:r>
            <w:r>
              <w:rPr>
                <w:rFonts w:ascii="Times New Roman" w:hAnsi="Times New Roman"/>
                <w:sz w:val="14"/>
                <w:szCs w:val="14"/>
                <w:lang w:val="uk-UA" w:eastAsia="ru-RU"/>
              </w:rPr>
              <w:t>»;</w:t>
            </w:r>
          </w:p>
          <w:p>
            <w:pPr>
              <w:pStyle w:val="Normal"/>
              <w:widowControl w:val="false"/>
              <w:numPr>
                <w:ilvl w:val="0"/>
                <w:numId w:val="0"/>
              </w:numPr>
              <w:spacing w:lineRule="auto" w:line="240" w:before="0" w:after="0"/>
              <w:jc w:val="both"/>
              <w:outlineLvl w:val="0"/>
              <w:rPr>
                <w:rFonts w:ascii="Times New Roman" w:hAnsi="Times New Roman"/>
                <w:bCs/>
                <w:kern w:val="2"/>
                <w:sz w:val="14"/>
                <w:szCs w:val="14"/>
                <w:lang w:val="uk-UA"/>
              </w:rPr>
            </w:pPr>
            <w:r>
              <w:rPr>
                <w:rFonts w:ascii="Times New Roman" w:hAnsi="Times New Roman"/>
                <w:sz w:val="14"/>
                <w:szCs w:val="14"/>
                <w:lang w:val="uk-UA"/>
              </w:rPr>
              <w:t>онлайн-лекція  від 08.02.2024 «</w:t>
            </w:r>
            <w:r>
              <w:rPr>
                <w:rFonts w:ascii="Times New Roman" w:hAnsi="Times New Roman"/>
                <w:bCs/>
                <w:sz w:val="14"/>
                <w:szCs w:val="14"/>
                <w:lang w:val="uk-UA"/>
              </w:rPr>
              <w:t>Підвищення рівня доброчесності поліцейських. Судова практика.Зміни в антикорупційному законодавстві»;</w:t>
            </w:r>
          </w:p>
          <w:p>
            <w:pPr>
              <w:pStyle w:val="Normal"/>
              <w:widowControl w:val="false"/>
              <w:numPr>
                <w:ilvl w:val="0"/>
                <w:numId w:val="0"/>
              </w:numPr>
              <w:spacing w:lineRule="auto" w:line="240" w:before="0" w:after="0"/>
              <w:jc w:val="both"/>
              <w:outlineLvl w:val="0"/>
              <w:rPr>
                <w:rFonts w:ascii="Times New Roman" w:hAnsi="Times New Roman"/>
                <w:bCs/>
                <w:kern w:val="2"/>
                <w:sz w:val="14"/>
                <w:szCs w:val="14"/>
                <w:lang w:val="uk-UA"/>
              </w:rPr>
            </w:pPr>
            <w:r>
              <w:rPr>
                <w:rFonts w:ascii="Times New Roman" w:hAnsi="Times New Roman"/>
                <w:sz w:val="14"/>
                <w:szCs w:val="14"/>
                <w:lang w:val="uk-UA"/>
              </w:rPr>
              <w:t>онлайн-лекція  від 15.02.2024 «</w:t>
            </w:r>
            <w:r>
              <w:rPr>
                <w:rFonts w:ascii="Times New Roman" w:hAnsi="Times New Roman"/>
                <w:bCs/>
                <w:sz w:val="14"/>
                <w:szCs w:val="14"/>
                <w:lang w:val="uk-UA"/>
              </w:rPr>
              <w:t>Особливості декларування окремих категорій осіб»;</w:t>
            </w:r>
          </w:p>
          <w:p>
            <w:pPr>
              <w:pStyle w:val="Normal"/>
              <w:widowControl w:val="false"/>
              <w:numPr>
                <w:ilvl w:val="0"/>
                <w:numId w:val="0"/>
              </w:numPr>
              <w:spacing w:lineRule="auto" w:line="240" w:before="0" w:after="0"/>
              <w:jc w:val="both"/>
              <w:outlineLvl w:val="0"/>
              <w:rPr>
                <w:rFonts w:ascii="Times New Roman" w:hAnsi="Times New Roman"/>
                <w:sz w:val="14"/>
                <w:szCs w:val="14"/>
                <w:lang w:val="uk-UA" w:eastAsia="ru-RU"/>
              </w:rPr>
            </w:pPr>
            <w:r>
              <w:rPr>
                <w:rFonts w:ascii="Times New Roman" w:hAnsi="Times New Roman"/>
                <w:sz w:val="14"/>
                <w:szCs w:val="14"/>
                <w:lang w:val="uk-UA" w:eastAsia="ru-RU"/>
              </w:rPr>
              <w:t xml:space="preserve">лист ДКП НПУ </w:t>
            </w:r>
            <w:r>
              <w:rPr>
                <w:rFonts w:ascii="Times New Roman" w:hAnsi="Times New Roman"/>
                <w:sz w:val="14"/>
                <w:szCs w:val="14"/>
                <w:lang w:val="uk-UA"/>
              </w:rPr>
              <w:t>СЕД-6338/01-2024 від 29.02.2024</w:t>
            </w:r>
            <w:r>
              <w:rPr>
                <w:rFonts w:ascii="Times New Roman" w:hAnsi="Times New Roman"/>
                <w:sz w:val="14"/>
                <w:szCs w:val="14"/>
                <w:lang w:val="uk-UA" w:eastAsia="ru-RU"/>
              </w:rPr>
              <w:t xml:space="preserve"> «</w:t>
            </w:r>
            <w:r>
              <w:rPr>
                <w:rFonts w:ascii="Times New Roman" w:hAnsi="Times New Roman"/>
                <w:bCs/>
                <w:kern w:val="2"/>
                <w:sz w:val="14"/>
                <w:szCs w:val="14"/>
                <w:lang w:val="uk-UA"/>
              </w:rPr>
              <w:t>Особливості декларування у період дії воєнного стану (у разі продовження)</w:t>
            </w:r>
            <w:r>
              <w:rPr>
                <w:rFonts w:ascii="Times New Roman" w:hAnsi="Times New Roman"/>
                <w:sz w:val="14"/>
                <w:szCs w:val="14"/>
                <w:lang w:val="uk-UA" w:eastAsia="ru-RU"/>
              </w:rPr>
              <w:t>»;</w:t>
            </w:r>
          </w:p>
          <w:p>
            <w:pPr>
              <w:pStyle w:val="Normal"/>
              <w:widowControl w:val="false"/>
              <w:numPr>
                <w:ilvl w:val="0"/>
                <w:numId w:val="0"/>
              </w:numPr>
              <w:spacing w:lineRule="auto" w:line="240" w:before="0" w:after="0"/>
              <w:jc w:val="both"/>
              <w:outlineLvl w:val="0"/>
              <w:rPr>
                <w:rFonts w:ascii="Times New Roman" w:hAnsi="Times New Roman"/>
                <w:bCs/>
                <w:kern w:val="2"/>
                <w:sz w:val="14"/>
                <w:szCs w:val="14"/>
                <w:lang w:val="uk-UA"/>
              </w:rPr>
            </w:pPr>
            <w:r>
              <w:rPr>
                <w:rFonts w:ascii="Times New Roman" w:hAnsi="Times New Roman"/>
                <w:sz w:val="14"/>
                <w:szCs w:val="14"/>
                <w:lang w:val="uk-UA"/>
              </w:rPr>
              <w:t>онлайн-лекція  від 07.03.2024 «</w:t>
            </w:r>
            <w:r>
              <w:rPr>
                <w:rFonts w:ascii="Times New Roman" w:hAnsi="Times New Roman"/>
                <w:bCs/>
                <w:sz w:val="14"/>
                <w:szCs w:val="14"/>
                <w:lang w:val="uk-UA"/>
              </w:rPr>
              <w:t>Особливості подання декларацій осіб, уповноважених на виконання функцій держави або місцевого самоврядування»;</w:t>
            </w:r>
          </w:p>
          <w:p>
            <w:pPr>
              <w:pStyle w:val="Normal"/>
              <w:widowControl w:val="false"/>
              <w:numPr>
                <w:ilvl w:val="0"/>
                <w:numId w:val="0"/>
              </w:numPr>
              <w:spacing w:lineRule="auto" w:line="240" w:before="0" w:after="0"/>
              <w:jc w:val="both"/>
              <w:outlineLvl w:val="0"/>
              <w:rPr>
                <w:rFonts w:ascii="Times New Roman" w:hAnsi="Times New Roman"/>
                <w:bCs/>
                <w:kern w:val="2"/>
                <w:sz w:val="14"/>
                <w:szCs w:val="14"/>
                <w:lang w:val="uk-UA"/>
              </w:rPr>
            </w:pPr>
            <w:r>
              <w:rPr>
                <w:rFonts w:ascii="Times New Roman" w:hAnsi="Times New Roman"/>
                <w:bCs/>
                <w:kern w:val="2"/>
                <w:sz w:val="14"/>
                <w:szCs w:val="14"/>
                <w:lang w:val="uk-UA"/>
              </w:rPr>
              <w:t>онлайн-лекція  від 14.03.2024 «</w:t>
            </w:r>
            <w:r>
              <w:rPr>
                <w:rFonts w:ascii="Times New Roman" w:hAnsi="Times New Roman"/>
                <w:bCs/>
                <w:sz w:val="14"/>
                <w:szCs w:val="14"/>
                <w:lang w:val="uk-UA"/>
              </w:rPr>
              <w:t>Відповідальність за неподання або несвоєчасне подання декларації</w:t>
            </w:r>
            <w:r>
              <w:rPr>
                <w:rFonts w:ascii="Times New Roman" w:hAnsi="Times New Roman"/>
                <w:bCs/>
                <w:sz w:val="14"/>
                <w:szCs w:val="14"/>
                <w:lang w:val="ru-RU"/>
              </w:rPr>
              <w:t xml:space="preserve">.  </w:t>
            </w:r>
            <w:r>
              <w:rPr>
                <w:rFonts w:ascii="Times New Roman" w:hAnsi="Times New Roman"/>
                <w:bCs/>
                <w:sz w:val="14"/>
                <w:szCs w:val="14"/>
                <w:lang w:val="uk-UA"/>
              </w:rPr>
              <w:t>Відповідальність передбачена за подання недостовірних відомостей</w:t>
            </w:r>
            <w:r>
              <w:rPr>
                <w:rFonts w:ascii="Times New Roman" w:hAnsi="Times New Roman"/>
                <w:bCs/>
                <w:kern w:val="2"/>
                <w:sz w:val="14"/>
                <w:szCs w:val="14"/>
                <w:lang w:val="uk-UA"/>
              </w:rPr>
              <w:t>».</w:t>
            </w:r>
          </w:p>
          <w:p>
            <w:pPr>
              <w:pStyle w:val="Normal"/>
              <w:widowControl w:val="false"/>
              <w:numPr>
                <w:ilvl w:val="0"/>
                <w:numId w:val="0"/>
              </w:numPr>
              <w:spacing w:lineRule="auto" w:line="240" w:before="0" w:after="0"/>
              <w:jc w:val="both"/>
              <w:outlineLvl w:val="0"/>
              <w:rPr>
                <w:rFonts w:ascii="Times New Roman" w:hAnsi="Times New Roman"/>
                <w:bCs/>
                <w:kern w:val="2"/>
                <w:sz w:val="14"/>
                <w:szCs w:val="14"/>
                <w:lang w:val="uk-UA"/>
              </w:rPr>
            </w:pPr>
            <w:r>
              <w:rPr>
                <w:rFonts w:ascii="Times New Roman" w:hAnsi="Times New Roman"/>
                <w:bCs/>
                <w:kern w:val="2"/>
                <w:sz w:val="14"/>
                <w:szCs w:val="14"/>
                <w:lang w:val="uk-UA"/>
              </w:rPr>
              <w:t>Також, особовому складу наголошено щодо:</w:t>
            </w:r>
          </w:p>
          <w:p>
            <w:pPr>
              <w:pStyle w:val="Normal"/>
              <w:widowControl w:val="false"/>
              <w:numPr>
                <w:ilvl w:val="0"/>
                <w:numId w:val="2"/>
              </w:numPr>
              <w:spacing w:lineRule="auto" w:line="240" w:before="0" w:after="0"/>
              <w:ind w:left="0" w:firstLine="30"/>
              <w:jc w:val="both"/>
              <w:outlineLvl w:val="0"/>
              <w:rPr>
                <w:rFonts w:ascii="Times New Roman" w:hAnsi="Times New Roman"/>
                <w:bCs/>
                <w:kern w:val="2"/>
                <w:sz w:val="14"/>
                <w:szCs w:val="14"/>
                <w:lang w:val="uk-UA"/>
              </w:rPr>
            </w:pPr>
            <w:r>
              <w:rPr>
                <w:rFonts w:ascii="Times New Roman" w:hAnsi="Times New Roman"/>
                <w:sz w:val="14"/>
                <w:szCs w:val="14"/>
                <w:lang w:val="uk-UA"/>
              </w:rPr>
              <w:t>п</w:t>
            </w:r>
            <w:r>
              <w:rPr>
                <w:rFonts w:ascii="Times New Roman" w:hAnsi="Times New Roman"/>
                <w:bCs/>
                <w:sz w:val="14"/>
                <w:szCs w:val="14"/>
                <w:lang w:val="uk-UA"/>
              </w:rPr>
              <w:t xml:space="preserve">осилення контролю за недопущення особовим складом порушень вимог статей 23-24 Закону України «Про запобігання корупції» </w:t>
              <w:br/>
              <w:t>в частині отримання подарків у тому числі неправомірної вигоди під час виконання ними своїх функціональних (посадових) обов’язків (</w:t>
            </w:r>
            <w:r>
              <w:rPr>
                <w:rFonts w:ascii="Times New Roman" w:hAnsi="Times New Roman"/>
                <w:sz w:val="14"/>
                <w:szCs w:val="14"/>
                <w:lang w:val="uk-UA"/>
              </w:rPr>
              <w:t>протокол № 1, № 3026/01-2024 (18529) від 27 січня 2024 року</w:t>
            </w:r>
            <w:r>
              <w:rPr>
                <w:rFonts w:ascii="Times New Roman" w:hAnsi="Times New Roman"/>
                <w:bCs/>
                <w:sz w:val="14"/>
                <w:szCs w:val="14"/>
                <w:lang w:val="uk-UA"/>
              </w:rPr>
              <w:t xml:space="preserve">  );</w:t>
            </w:r>
          </w:p>
          <w:p>
            <w:pPr>
              <w:pStyle w:val="Normal"/>
              <w:widowControl w:val="false"/>
              <w:numPr>
                <w:ilvl w:val="0"/>
                <w:numId w:val="2"/>
              </w:numPr>
              <w:spacing w:lineRule="auto" w:line="240" w:before="0" w:after="0"/>
              <w:ind w:left="0" w:hanging="0"/>
              <w:jc w:val="both"/>
              <w:outlineLvl w:val="0"/>
              <w:rPr>
                <w:rFonts w:ascii="Times New Roman" w:hAnsi="Times New Roman"/>
                <w:bCs/>
                <w:kern w:val="2"/>
                <w:sz w:val="14"/>
                <w:szCs w:val="14"/>
                <w:lang w:val="uk-UA"/>
              </w:rPr>
            </w:pPr>
            <w:r>
              <w:rPr>
                <w:rFonts w:ascii="Times New Roman" w:hAnsi="Times New Roman"/>
                <w:bCs/>
                <w:kern w:val="2"/>
                <w:sz w:val="14"/>
                <w:szCs w:val="14"/>
                <w:lang w:val="uk-UA"/>
              </w:rPr>
              <w:t xml:space="preserve">забезпечення дотримання правил запобігання конфлікту інтересів під час виконання службових обов’язків, вжиття заходів щодо виявлення конфлікту інтересів та його врегулювання, здійснення контролю за дотриманням вимог законодавства щодо запобігання та врегулювання конфлікту інтересів з дотриманням вимог статей 27, 28 Закону України «Про запобігання корупції» </w:t>
            </w:r>
            <w:r>
              <w:rPr>
                <w:rFonts w:ascii="Times New Roman" w:hAnsi="Times New Roman"/>
                <w:bCs/>
                <w:sz w:val="14"/>
                <w:szCs w:val="14"/>
                <w:lang w:val="uk-UA"/>
              </w:rPr>
              <w:t>(</w:t>
            </w:r>
            <w:r>
              <w:rPr>
                <w:rFonts w:ascii="Times New Roman" w:hAnsi="Times New Roman"/>
                <w:sz w:val="14"/>
                <w:szCs w:val="14"/>
                <w:lang w:val="uk-UA"/>
              </w:rPr>
              <w:t xml:space="preserve">протокол № 1, № 3026/01-2024 (18529) </w:t>
              <w:br/>
              <w:t>від 27.01.2024</w:t>
            </w:r>
            <w:r>
              <w:rPr>
                <w:rFonts w:ascii="Times New Roman" w:hAnsi="Times New Roman"/>
                <w:bCs/>
                <w:sz w:val="14"/>
                <w:szCs w:val="14"/>
                <w:lang w:val="uk-UA"/>
              </w:rPr>
              <w:t>).</w:t>
            </w:r>
          </w:p>
          <w:p>
            <w:pPr>
              <w:pStyle w:val="Normal"/>
              <w:widowControl w:val="false"/>
              <w:tabs>
                <w:tab w:val="clear" w:pos="708"/>
                <w:tab w:val="left" w:pos="426" w:leader="none"/>
                <w:tab w:val="left" w:pos="851" w:leader="none"/>
              </w:tabs>
              <w:spacing w:lineRule="auto" w:line="240" w:before="0" w:after="0"/>
              <w:contextualSpacing/>
              <w:jc w:val="both"/>
              <w:rPr>
                <w:rFonts w:ascii="Times New Roman" w:hAnsi="Times New Roman"/>
                <w:sz w:val="14"/>
                <w:szCs w:val="14"/>
                <w:lang w:val="uk-UA"/>
              </w:rPr>
            </w:pPr>
            <w:r>
              <w:rPr>
                <w:rFonts w:ascii="Times New Roman" w:hAnsi="Times New Roman"/>
                <w:sz w:val="14"/>
                <w:szCs w:val="14"/>
                <w:shd w:fill="FFFFFF" w:val="clear"/>
                <w:lang w:val="uk-UA"/>
              </w:rPr>
              <w:t xml:space="preserve">Забезпечено </w:t>
            </w:r>
            <w:r>
              <w:rPr>
                <w:rFonts w:ascii="Times New Roman" w:hAnsi="Times New Roman"/>
                <w:bCs/>
                <w:sz w:val="14"/>
                <w:szCs w:val="14"/>
                <w:lang w:val="uk-UA"/>
              </w:rPr>
              <w:t xml:space="preserve">подання суб’єктами декларування декларації особи, уповноваженої на виконання функцій держави або місцевого самоврядування                      за 2023 рік </w:t>
            </w:r>
            <w:r>
              <w:rPr>
                <w:rFonts w:ascii="Times New Roman" w:hAnsi="Times New Roman"/>
                <w:sz w:val="14"/>
                <w:szCs w:val="14"/>
                <w:shd w:fill="FFFFFF" w:val="clear"/>
                <w:lang w:val="uk-UA"/>
              </w:rPr>
              <w:t>(доручення ДКП від 29.02.2024                      № СЕД-6339/01-2024).</w:t>
            </w:r>
            <w:r>
              <w:rPr>
                <w:lang w:val="ru-RU"/>
              </w:rPr>
              <w:t xml:space="preserve">                                              </w:t>
            </w:r>
            <w:r>
              <w:rPr>
                <w:rFonts w:ascii="Times New Roman" w:hAnsi="Times New Roman"/>
                <w:sz w:val="14"/>
                <w:szCs w:val="14"/>
                <w:lang w:val="uk-UA"/>
              </w:rPr>
              <w:t xml:space="preserve">Додатково проведено роз’яснювальну роботу із доведення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w:t>
            </w:r>
            <w:r>
              <w:rPr>
                <w:rFonts w:ascii="Times New Roman" w:hAnsi="Times New Roman"/>
                <w:sz w:val="14"/>
                <w:szCs w:val="14"/>
                <w:lang w:val="uk-UA" w:eastAsia="ru-RU" w:bidi="uk-UA"/>
              </w:rPr>
              <w:t>(протокол оперативної наради керівництва ДКП № 1 від 23.01.2024 (СЕД-3026/01-2024  від 27.01.2024);</w:t>
            </w:r>
            <w:r>
              <w:rPr>
                <w:rFonts w:ascii="Times New Roman" w:hAnsi="Times New Roman"/>
                <w:sz w:val="14"/>
                <w:szCs w:val="14"/>
                <w:lang w:val="uk-UA"/>
              </w:rPr>
              <w:t xml:space="preserve"> </w:t>
              <w:br/>
              <w:t xml:space="preserve">№ 2 від 08.02.2024; № 6 від 02.04.2024 (СЕД-10359/01-2024 від 05.04.2024); </w:t>
              <w:br/>
              <w:t>№ 7 від 23.04.2024 (СЕД-12671/01-2024 від 25.05.2024); № 9 від 21.05.2024 (СЕД-16053/01-2024 від 25.05.2024).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37</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XI.  Здійснення оперативно-розшукової діяльності</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Потенційна недоброчесність працівників поліції під час огляду електронно-інформаційних систем  або їх частин, мобільних терміналів систем зв’язку та подальшим незаконним використанням інформації з них, з метою задоволення приватного інтересу свого або на користь третіх осіб</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Працівники поліції, використовуючи службові повноваження, мають можливість, під час огляду електронно-інформаційних систем  або їх частин, мобільних терміналів систем зв’язку,  створювати копії відповідної інформації, із подальшою можливістю її незаконного розповсюдження, з метою задоволення  приватного інтересу свого або на користь третіх осіб</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урегульованість організаційно-розпорядчих актів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2.Недостатні існуючі методи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працівників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1.Розроблено та введено в дію наказ МВС яким  затверджено Інструкцію з формування та ведення інформаційної підсистеми «СЛІД» інформаційно-телекомунікаційної системи                «Інформаційний портал Національної поліції України»,  метою якої є у т.ч. облік інформації про об’єкти, вилучені під час проведення слідчих (розшукових) дій, у єдиному інформаційному просторі з використанням сучасних інформаційних технологій, комп’ютерного та телекомунікаційного обладнання</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1.Розробка методичних  рекомендацій (інструкцій) порядку проведення щоквартальних  звірок використання працівниками поліції отриманої інформації про об’єкти, вилучені під час проведення слідчих (розшукових) дій, у єдиному інформаційному просторі з використанням сучасних інформаційних технологій, комп’ютерного та телекомунікаційного обладнання</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2.Проведення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01.12.22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ДКП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ДКП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t>\</w:t>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Розроблено методичні рекомендації</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ru-RU"/>
              </w:rPr>
            </w:pPr>
            <w:r>
              <w:rPr>
                <w:rFonts w:ascii="Times New Roman" w:hAnsi="Times New Roman"/>
                <w:sz w:val="14"/>
                <w:szCs w:val="14"/>
                <w:lang w:val="ru-RU"/>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здійснено</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16.03.23</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8"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5" w:right="-119"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Розроблено та затверджено методичні рекомендації щодо використання працівниками отриманої інформації про об’єкти, вилучені під час проведення слідчих (розшукових) дій у єдиному інформаційному просторі з використанням сучасних інформаційних технологій та обладнання (№3225/38/21/01-2023 від 16.03.2023)</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особовим складом підрозділів ДКП у 4 кварталі 2023 року проведено 2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w:t>
            </w:r>
            <w:r>
              <w:rPr>
                <w:lang w:val="uk-UA"/>
              </w:rPr>
              <w:t xml:space="preserve"> </w:t>
            </w:r>
            <w:r>
              <w:rPr>
                <w:rFonts w:ascii="Times New Roman" w:hAnsi="Times New Roman"/>
                <w:sz w:val="14"/>
                <w:szCs w:val="14"/>
                <w:lang w:val="uk-UA"/>
              </w:rPr>
              <w:t>у т.ч. за темами:</w:t>
            </w:r>
          </w:p>
          <w:p>
            <w:pPr>
              <w:pStyle w:val="Normal"/>
              <w:widowControl w:val="false"/>
              <w:tabs>
                <w:tab w:val="clear" w:pos="708"/>
                <w:tab w:val="left" w:pos="4820" w:leader="none"/>
              </w:tabs>
              <w:spacing w:lineRule="auto" w:line="240" w:before="0" w:after="0"/>
              <w:jc w:val="both"/>
              <w:rPr>
                <w:rFonts w:ascii="Times New Roman" w:hAnsi="Times New Roman"/>
                <w:sz w:val="14"/>
                <w:szCs w:val="14"/>
                <w:lang w:val="uk-UA"/>
              </w:rPr>
            </w:pPr>
            <w:r>
              <w:rPr>
                <w:rFonts w:ascii="Times New Roman" w:hAnsi="Times New Roman"/>
                <w:bCs/>
                <w:sz w:val="14"/>
                <w:szCs w:val="14"/>
                <w:lang w:val="uk-UA"/>
              </w:rPr>
              <w:t xml:space="preserve">лист ДКП НПУ  </w:t>
            </w:r>
            <w:r>
              <w:rPr>
                <w:rFonts w:eastAsia="Courier New" w:ascii="Times New Roman" w:hAnsi="Times New Roman"/>
                <w:sz w:val="14"/>
                <w:szCs w:val="14"/>
                <w:lang w:val="uk-UA" w:bidi="uk-UA"/>
              </w:rPr>
              <w:t xml:space="preserve">10395/38/13/02-2023 від 07.08.2023 « Про доведення </w:t>
            </w:r>
            <w:r>
              <w:rPr>
                <w:rFonts w:ascii="Times New Roman" w:hAnsi="Times New Roman"/>
                <w:bCs/>
                <w:sz w:val="14"/>
                <w:szCs w:val="14"/>
                <w:lang w:val="uk-UA"/>
              </w:rPr>
              <w:t xml:space="preserve">вимог доповідної записки ДІАП НПУ щодо уникнення несанкціонованого доступу до </w:t>
            </w:r>
            <w:r>
              <w:rPr>
                <w:rFonts w:eastAsia="Courier New" w:ascii="Times New Roman" w:hAnsi="Times New Roman"/>
                <w:sz w:val="14"/>
                <w:szCs w:val="14"/>
                <w:lang w:val="uk-UA" w:bidi="uk-UA"/>
              </w:rPr>
              <w:t>ІКС «ІПНП»;</w:t>
            </w:r>
          </w:p>
          <w:p>
            <w:pPr>
              <w:pStyle w:val="Normal"/>
              <w:widowControl w:val="false"/>
              <w:spacing w:lineRule="auto" w:line="240" w:before="0" w:after="0"/>
              <w:ind w:right="34" w:hanging="0"/>
              <w:jc w:val="both"/>
              <w:rPr>
                <w:rFonts w:ascii="Times New Roman" w:hAnsi="Times New Roman"/>
                <w:sz w:val="14"/>
                <w:szCs w:val="14"/>
                <w:lang w:val="uk-UA"/>
              </w:rPr>
            </w:pPr>
            <w:r>
              <w:rPr>
                <w:rFonts w:ascii="Times New Roman" w:hAnsi="Times New Roman"/>
                <w:sz w:val="14"/>
                <w:szCs w:val="14"/>
                <w:lang w:val="uk-UA"/>
              </w:rPr>
              <w:t>лист ДКП НПУ 12715/38/21/01-2023 від 21.09.2023 «Про дотримання заборон передбачених статтею 54 Закону України «Про запобігання корупції» в умовах дії правового режиму воєнного стану».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З особовим складом</w:t>
            </w:r>
            <w:r>
              <w:rPr>
                <w:rFonts w:ascii="Times New Roman" w:hAnsi="Times New Roman"/>
                <w:sz w:val="14"/>
                <w:szCs w:val="14"/>
                <w:lang w:val="uk-UA" w:eastAsia="ru-RU"/>
              </w:rPr>
              <w:t xml:space="preserve"> підрозділів ДКП у 1кварталі 2024 року</w:t>
            </w:r>
            <w:r>
              <w:rPr>
                <w:rFonts w:ascii="Times New Roman" w:hAnsi="Times New Roman"/>
                <w:spacing w:val="-8"/>
                <w:sz w:val="14"/>
                <w:szCs w:val="14"/>
                <w:shd w:fill="FFFFFF" w:val="clear"/>
                <w:lang w:val="uk-UA" w:eastAsia="ru-RU"/>
              </w:rPr>
              <w:t xml:space="preserve"> проведено 7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 </w:t>
            </w:r>
            <w:r>
              <w:rPr>
                <w:rFonts w:ascii="Times New Roman" w:hAnsi="Times New Roman"/>
                <w:sz w:val="14"/>
                <w:szCs w:val="14"/>
                <w:lang w:val="uk-UA"/>
              </w:rPr>
              <w:t xml:space="preserve"> у т.ч. за темами:</w:t>
            </w:r>
          </w:p>
          <w:p>
            <w:pPr>
              <w:pStyle w:val="Normal"/>
              <w:widowControl w:val="false"/>
              <w:numPr>
                <w:ilvl w:val="0"/>
                <w:numId w:val="0"/>
              </w:numPr>
              <w:spacing w:lineRule="auto" w:line="240" w:before="0" w:after="0"/>
              <w:jc w:val="both"/>
              <w:outlineLvl w:val="0"/>
              <w:rPr>
                <w:rFonts w:ascii="Times New Roman" w:hAnsi="Times New Roman"/>
                <w:sz w:val="14"/>
                <w:szCs w:val="14"/>
                <w:lang w:val="uk-UA" w:eastAsia="ru-RU"/>
              </w:rPr>
            </w:pPr>
            <w:r>
              <w:rPr>
                <w:rFonts w:ascii="Times New Roman" w:hAnsi="Times New Roman"/>
                <w:sz w:val="14"/>
                <w:szCs w:val="14"/>
                <w:lang w:val="uk-UA" w:eastAsia="ru-RU"/>
              </w:rPr>
              <w:t xml:space="preserve">лист ДКП НПУ </w:t>
            </w:r>
            <w:r>
              <w:rPr>
                <w:rFonts w:ascii="Times New Roman" w:hAnsi="Times New Roman"/>
                <w:sz w:val="14"/>
                <w:szCs w:val="14"/>
                <w:lang w:val="uk-UA"/>
              </w:rPr>
              <w:t>СЕД-2912/02-2024 від 26.01.2024</w:t>
            </w:r>
            <w:r>
              <w:rPr>
                <w:rFonts w:ascii="Times New Roman" w:hAnsi="Times New Roman"/>
                <w:sz w:val="14"/>
                <w:szCs w:val="14"/>
                <w:lang w:val="uk-UA" w:eastAsia="ru-RU"/>
              </w:rPr>
              <w:t xml:space="preserve"> «</w:t>
            </w:r>
            <w:r>
              <w:rPr>
                <w:rFonts w:ascii="Times New Roman" w:hAnsi="Times New Roman"/>
                <w:bCs/>
                <w:sz w:val="14"/>
                <w:szCs w:val="14"/>
                <w:lang w:val="uk-UA"/>
              </w:rPr>
              <w:t>Порядок подання декларації особою, яка претендує на зайняття посади, для проведення спеціальної перевірки</w:t>
            </w:r>
            <w:r>
              <w:rPr>
                <w:rFonts w:ascii="Times New Roman" w:hAnsi="Times New Roman"/>
                <w:sz w:val="14"/>
                <w:szCs w:val="14"/>
                <w:lang w:val="uk-UA" w:eastAsia="ru-RU"/>
              </w:rPr>
              <w:t>»;</w:t>
            </w:r>
          </w:p>
          <w:p>
            <w:pPr>
              <w:pStyle w:val="Normal"/>
              <w:widowControl w:val="false"/>
              <w:numPr>
                <w:ilvl w:val="0"/>
                <w:numId w:val="0"/>
              </w:numPr>
              <w:spacing w:lineRule="auto" w:line="240" w:before="0" w:after="0"/>
              <w:jc w:val="both"/>
              <w:outlineLvl w:val="0"/>
              <w:rPr>
                <w:rFonts w:ascii="Times New Roman" w:hAnsi="Times New Roman"/>
                <w:sz w:val="14"/>
                <w:szCs w:val="14"/>
                <w:lang w:val="uk-UA" w:eastAsia="ru-RU"/>
              </w:rPr>
            </w:pPr>
            <w:r>
              <w:rPr>
                <w:rFonts w:ascii="Times New Roman" w:hAnsi="Times New Roman"/>
                <w:sz w:val="14"/>
                <w:szCs w:val="14"/>
                <w:lang w:val="uk-UA" w:eastAsia="ru-RU"/>
              </w:rPr>
              <w:t xml:space="preserve">лист ДКП НПУ </w:t>
            </w:r>
            <w:r>
              <w:rPr>
                <w:rFonts w:ascii="Times New Roman" w:hAnsi="Times New Roman"/>
                <w:sz w:val="14"/>
                <w:szCs w:val="14"/>
                <w:lang w:val="uk-UA"/>
              </w:rPr>
              <w:t>СЕД-2913/02-2024 від 26.01.2024</w:t>
            </w:r>
            <w:r>
              <w:rPr>
                <w:rFonts w:ascii="Times New Roman" w:hAnsi="Times New Roman"/>
                <w:sz w:val="14"/>
                <w:szCs w:val="14"/>
                <w:lang w:val="uk-UA" w:eastAsia="ru-RU"/>
              </w:rPr>
              <w:t xml:space="preserve"> «</w:t>
            </w:r>
            <w:r>
              <w:rPr>
                <w:rFonts w:ascii="Times New Roman" w:hAnsi="Times New Roman"/>
                <w:bCs/>
                <w:sz w:val="14"/>
                <w:szCs w:val="14"/>
                <w:lang w:val="uk-UA"/>
              </w:rPr>
              <w:t>Загальні положення щодо відображення відомостей про об’єкти декларування</w:t>
            </w:r>
            <w:r>
              <w:rPr>
                <w:rFonts w:ascii="Times New Roman" w:hAnsi="Times New Roman"/>
                <w:sz w:val="14"/>
                <w:szCs w:val="14"/>
                <w:lang w:val="uk-UA" w:eastAsia="ru-RU"/>
              </w:rPr>
              <w:t>»;</w:t>
            </w:r>
          </w:p>
          <w:p>
            <w:pPr>
              <w:pStyle w:val="Normal"/>
              <w:widowControl w:val="false"/>
              <w:numPr>
                <w:ilvl w:val="0"/>
                <w:numId w:val="0"/>
              </w:numPr>
              <w:spacing w:lineRule="auto" w:line="240" w:before="0" w:after="0"/>
              <w:jc w:val="both"/>
              <w:outlineLvl w:val="0"/>
              <w:rPr>
                <w:rFonts w:ascii="Times New Roman" w:hAnsi="Times New Roman"/>
                <w:sz w:val="14"/>
                <w:szCs w:val="14"/>
                <w:lang w:val="uk-UA" w:eastAsia="ru-RU"/>
              </w:rPr>
            </w:pPr>
            <w:r>
              <w:rPr>
                <w:rFonts w:ascii="Times New Roman" w:hAnsi="Times New Roman"/>
                <w:sz w:val="14"/>
                <w:szCs w:val="14"/>
                <w:lang w:val="uk-UA" w:eastAsia="ru-RU"/>
              </w:rPr>
              <w:t xml:space="preserve">лист ДКП НПУ </w:t>
            </w:r>
            <w:r>
              <w:rPr>
                <w:rFonts w:ascii="Times New Roman" w:hAnsi="Times New Roman"/>
                <w:sz w:val="14"/>
                <w:szCs w:val="14"/>
                <w:lang w:val="uk-UA"/>
              </w:rPr>
              <w:t>СЕД-2914/02-2024 від 26.01.2024</w:t>
            </w:r>
            <w:r>
              <w:rPr>
                <w:rFonts w:ascii="Times New Roman" w:hAnsi="Times New Roman"/>
                <w:sz w:val="14"/>
                <w:szCs w:val="14"/>
                <w:lang w:val="uk-UA" w:eastAsia="ru-RU"/>
              </w:rPr>
              <w:t xml:space="preserve"> «</w:t>
            </w:r>
            <w:r>
              <w:rPr>
                <w:rFonts w:ascii="Times New Roman" w:hAnsi="Times New Roman"/>
                <w:bCs/>
                <w:kern w:val="2"/>
                <w:sz w:val="14"/>
                <w:szCs w:val="14"/>
                <w:lang w:val="uk-UA"/>
              </w:rPr>
              <w:t>Види декларацій та порядок їх подання</w:t>
            </w:r>
            <w:r>
              <w:rPr>
                <w:rFonts w:ascii="Times New Roman" w:hAnsi="Times New Roman"/>
                <w:sz w:val="14"/>
                <w:szCs w:val="14"/>
                <w:lang w:val="uk-UA" w:eastAsia="ru-RU"/>
              </w:rPr>
              <w:t>»;</w:t>
            </w:r>
          </w:p>
          <w:p>
            <w:pPr>
              <w:pStyle w:val="Normal"/>
              <w:widowControl w:val="false"/>
              <w:numPr>
                <w:ilvl w:val="0"/>
                <w:numId w:val="0"/>
              </w:numPr>
              <w:spacing w:lineRule="auto" w:line="240" w:before="0" w:after="0"/>
              <w:jc w:val="both"/>
              <w:outlineLvl w:val="0"/>
              <w:rPr>
                <w:rFonts w:ascii="Times New Roman" w:hAnsi="Times New Roman"/>
                <w:bCs/>
                <w:kern w:val="2"/>
                <w:sz w:val="14"/>
                <w:szCs w:val="14"/>
                <w:lang w:val="uk-UA"/>
              </w:rPr>
            </w:pPr>
            <w:r>
              <w:rPr>
                <w:rFonts w:ascii="Times New Roman" w:hAnsi="Times New Roman"/>
                <w:sz w:val="14"/>
                <w:szCs w:val="14"/>
                <w:lang w:val="uk-UA"/>
              </w:rPr>
              <w:t>онлайн-лекція  від 08.02.2024 «</w:t>
            </w:r>
            <w:r>
              <w:rPr>
                <w:rFonts w:ascii="Times New Roman" w:hAnsi="Times New Roman"/>
                <w:bCs/>
                <w:sz w:val="14"/>
                <w:szCs w:val="14"/>
                <w:lang w:val="uk-UA"/>
              </w:rPr>
              <w:t>Підвищення рівня доброчесності поліцейських. Судова практика. Зміни в антикорупційному законодавстві»;</w:t>
            </w:r>
          </w:p>
          <w:p>
            <w:pPr>
              <w:pStyle w:val="Normal"/>
              <w:widowControl w:val="false"/>
              <w:numPr>
                <w:ilvl w:val="0"/>
                <w:numId w:val="0"/>
              </w:numPr>
              <w:spacing w:lineRule="auto" w:line="240" w:before="0" w:after="0"/>
              <w:jc w:val="both"/>
              <w:outlineLvl w:val="0"/>
              <w:rPr>
                <w:rFonts w:ascii="Times New Roman" w:hAnsi="Times New Roman"/>
                <w:bCs/>
                <w:kern w:val="2"/>
                <w:sz w:val="14"/>
                <w:szCs w:val="14"/>
                <w:lang w:val="uk-UA"/>
              </w:rPr>
            </w:pPr>
            <w:r>
              <w:rPr>
                <w:rFonts w:ascii="Times New Roman" w:hAnsi="Times New Roman"/>
                <w:sz w:val="14"/>
                <w:szCs w:val="14"/>
                <w:lang w:val="uk-UA"/>
              </w:rPr>
              <w:t>онлайн-лекція  від 15.02.2024 «</w:t>
            </w:r>
            <w:r>
              <w:rPr>
                <w:rFonts w:ascii="Times New Roman" w:hAnsi="Times New Roman"/>
                <w:bCs/>
                <w:sz w:val="14"/>
                <w:szCs w:val="14"/>
                <w:lang w:val="uk-UA"/>
              </w:rPr>
              <w:t>Особливості декларування окремих категорій осіб»;</w:t>
            </w:r>
          </w:p>
          <w:p>
            <w:pPr>
              <w:pStyle w:val="Normal"/>
              <w:widowControl w:val="false"/>
              <w:numPr>
                <w:ilvl w:val="0"/>
                <w:numId w:val="0"/>
              </w:numPr>
              <w:spacing w:lineRule="auto" w:line="240" w:before="0" w:after="0"/>
              <w:jc w:val="both"/>
              <w:outlineLvl w:val="0"/>
              <w:rPr>
                <w:rFonts w:ascii="Times New Roman" w:hAnsi="Times New Roman"/>
                <w:sz w:val="14"/>
                <w:szCs w:val="14"/>
                <w:lang w:val="uk-UA" w:eastAsia="ru-RU"/>
              </w:rPr>
            </w:pPr>
            <w:r>
              <w:rPr>
                <w:rFonts w:ascii="Times New Roman" w:hAnsi="Times New Roman"/>
                <w:sz w:val="14"/>
                <w:szCs w:val="14"/>
                <w:lang w:val="uk-UA" w:eastAsia="ru-RU"/>
              </w:rPr>
              <w:t xml:space="preserve">лист ДКП НПУ </w:t>
            </w:r>
            <w:r>
              <w:rPr>
                <w:rFonts w:ascii="Times New Roman" w:hAnsi="Times New Roman"/>
                <w:sz w:val="14"/>
                <w:szCs w:val="14"/>
                <w:lang w:val="uk-UA"/>
              </w:rPr>
              <w:t>СЕД-6338/01-2024 від 29.02.2024</w:t>
            </w:r>
            <w:r>
              <w:rPr>
                <w:rFonts w:ascii="Times New Roman" w:hAnsi="Times New Roman"/>
                <w:sz w:val="14"/>
                <w:szCs w:val="14"/>
                <w:lang w:val="uk-UA" w:eastAsia="ru-RU"/>
              </w:rPr>
              <w:t xml:space="preserve"> «</w:t>
            </w:r>
            <w:r>
              <w:rPr>
                <w:rFonts w:ascii="Times New Roman" w:hAnsi="Times New Roman"/>
                <w:bCs/>
                <w:kern w:val="2"/>
                <w:sz w:val="14"/>
                <w:szCs w:val="14"/>
                <w:lang w:val="uk-UA"/>
              </w:rPr>
              <w:t>Особливості декларування у період дії воєнного стану (у разі продовження)</w:t>
            </w:r>
            <w:r>
              <w:rPr>
                <w:rFonts w:ascii="Times New Roman" w:hAnsi="Times New Roman"/>
                <w:sz w:val="14"/>
                <w:szCs w:val="14"/>
                <w:lang w:val="uk-UA" w:eastAsia="ru-RU"/>
              </w:rPr>
              <w:t>»;</w:t>
            </w:r>
          </w:p>
          <w:p>
            <w:pPr>
              <w:pStyle w:val="Normal"/>
              <w:widowControl w:val="false"/>
              <w:numPr>
                <w:ilvl w:val="0"/>
                <w:numId w:val="0"/>
              </w:numPr>
              <w:spacing w:lineRule="auto" w:line="240" w:before="0" w:after="0"/>
              <w:jc w:val="both"/>
              <w:outlineLvl w:val="0"/>
              <w:rPr>
                <w:rFonts w:ascii="Times New Roman" w:hAnsi="Times New Roman"/>
                <w:bCs/>
                <w:kern w:val="2"/>
                <w:sz w:val="14"/>
                <w:szCs w:val="14"/>
                <w:lang w:val="uk-UA"/>
              </w:rPr>
            </w:pPr>
            <w:r>
              <w:rPr>
                <w:rFonts w:ascii="Times New Roman" w:hAnsi="Times New Roman"/>
                <w:sz w:val="14"/>
                <w:szCs w:val="14"/>
                <w:lang w:val="uk-UA"/>
              </w:rPr>
              <w:t>онлайн-лекція  від 07.03.2024 «</w:t>
            </w:r>
            <w:r>
              <w:rPr>
                <w:rFonts w:ascii="Times New Roman" w:hAnsi="Times New Roman"/>
                <w:bCs/>
                <w:sz w:val="14"/>
                <w:szCs w:val="14"/>
                <w:lang w:val="uk-UA"/>
              </w:rPr>
              <w:t>Особливості подання декларацій осіб, уповноважених на виконання функцій держави або місцевого самоврядування»;</w:t>
            </w:r>
          </w:p>
          <w:p>
            <w:pPr>
              <w:pStyle w:val="Normal"/>
              <w:widowControl w:val="false"/>
              <w:numPr>
                <w:ilvl w:val="0"/>
                <w:numId w:val="0"/>
              </w:numPr>
              <w:spacing w:lineRule="auto" w:line="240" w:before="0" w:after="0"/>
              <w:jc w:val="both"/>
              <w:outlineLvl w:val="0"/>
              <w:rPr>
                <w:rFonts w:ascii="Times New Roman" w:hAnsi="Times New Roman"/>
                <w:bCs/>
                <w:kern w:val="2"/>
                <w:sz w:val="14"/>
                <w:szCs w:val="14"/>
                <w:lang w:val="uk-UA"/>
              </w:rPr>
            </w:pPr>
            <w:r>
              <w:rPr>
                <w:rFonts w:ascii="Times New Roman" w:hAnsi="Times New Roman"/>
                <w:bCs/>
                <w:kern w:val="2"/>
                <w:sz w:val="14"/>
                <w:szCs w:val="14"/>
                <w:lang w:val="uk-UA"/>
              </w:rPr>
              <w:t>онлайн-лекція  від 14.03.2024 «</w:t>
            </w:r>
            <w:r>
              <w:rPr>
                <w:rFonts w:ascii="Times New Roman" w:hAnsi="Times New Roman"/>
                <w:bCs/>
                <w:sz w:val="14"/>
                <w:szCs w:val="14"/>
                <w:lang w:val="uk-UA"/>
              </w:rPr>
              <w:t>Відповідальність за неподання або несвоєчасне подання декларації.  Відповідальність передбачена за подання недостовірних відомостей</w:t>
            </w:r>
            <w:r>
              <w:rPr>
                <w:rFonts w:ascii="Times New Roman" w:hAnsi="Times New Roman"/>
                <w:bCs/>
                <w:kern w:val="2"/>
                <w:sz w:val="14"/>
                <w:szCs w:val="14"/>
                <w:lang w:val="uk-UA"/>
              </w:rPr>
              <w:t>».</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З особовим складом</w:t>
            </w:r>
            <w:r>
              <w:rPr>
                <w:rFonts w:ascii="Times New Roman" w:hAnsi="Times New Roman"/>
                <w:sz w:val="14"/>
                <w:szCs w:val="14"/>
                <w:lang w:val="uk-UA" w:eastAsia="ru-RU"/>
              </w:rPr>
              <w:t xml:space="preserve"> підрозділів ДКП у 2 кварталі 2024 року</w:t>
            </w:r>
            <w:r>
              <w:rPr>
                <w:rFonts w:ascii="Times New Roman" w:hAnsi="Times New Roman"/>
                <w:spacing w:val="-8"/>
                <w:sz w:val="14"/>
                <w:szCs w:val="14"/>
                <w:shd w:fill="FFFFFF" w:val="clear"/>
                <w:lang w:val="uk-UA" w:eastAsia="ru-RU"/>
              </w:rPr>
              <w:t xml:space="preserve"> проведено 3 додаткових навчань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 </w:t>
            </w:r>
            <w:r>
              <w:rPr>
                <w:rFonts w:ascii="Times New Roman" w:hAnsi="Times New Roman"/>
                <w:sz w:val="14"/>
                <w:szCs w:val="14"/>
                <w:lang w:val="uk-UA"/>
              </w:rPr>
              <w:t xml:space="preserve"> у т.ч. за темами:</w:t>
            </w:r>
          </w:p>
          <w:p>
            <w:pPr>
              <w:pStyle w:val="Normal"/>
              <w:widowControl w:val="false"/>
              <w:numPr>
                <w:ilvl w:val="0"/>
                <w:numId w:val="0"/>
              </w:numPr>
              <w:spacing w:lineRule="auto" w:line="240" w:before="0" w:after="0"/>
              <w:jc w:val="both"/>
              <w:outlineLvl w:val="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w:t>
            </w:r>
            <w:r>
              <w:rPr>
                <w:rFonts w:ascii="Times New Roman" w:hAnsi="Times New Roman"/>
                <w:bCs/>
                <w:sz w:val="14"/>
                <w:szCs w:val="14"/>
                <w:lang w:val="uk-UA"/>
              </w:rPr>
              <w:t>Особливості подання декларацій осіб, уповноважених на виконання функцій держави або місцевого самоврядування»</w:t>
            </w:r>
            <w:r>
              <w:rPr>
                <w:rFonts w:ascii="Times New Roman" w:hAnsi="Times New Roman"/>
                <w:sz w:val="14"/>
                <w:szCs w:val="14"/>
                <w:lang w:val="uk-UA"/>
              </w:rPr>
              <w:t xml:space="preserve"> (лист ДКП  НПУ СЕД 19580/01-2024 </w:t>
              <w:br/>
              <w:t>від 28.06.2024)</w:t>
            </w:r>
            <w:r>
              <w:rPr>
                <w:rFonts w:ascii="Times New Roman" w:hAnsi="Times New Roman"/>
                <w:bCs/>
                <w:sz w:val="14"/>
                <w:szCs w:val="14"/>
                <w:lang w:val="uk-UA"/>
              </w:rPr>
              <w:t>;</w:t>
            </w:r>
          </w:p>
          <w:p>
            <w:pPr>
              <w:pStyle w:val="Normal"/>
              <w:widowControl w:val="false"/>
              <w:numPr>
                <w:ilvl w:val="0"/>
                <w:numId w:val="0"/>
              </w:numPr>
              <w:spacing w:lineRule="auto" w:line="240" w:before="0" w:after="0"/>
              <w:jc w:val="both"/>
              <w:outlineLvl w:val="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w:t>
            </w:r>
            <w:r>
              <w:rPr>
                <w:rFonts w:ascii="Times New Roman" w:hAnsi="Times New Roman"/>
                <w:bCs/>
                <w:sz w:val="14"/>
                <w:szCs w:val="14"/>
                <w:lang w:val="uk-UA"/>
              </w:rPr>
              <w:t>Підвищення рівня доброчесності поліцейських. Судова практика. Зміни в антикорупційному законодавстві»</w:t>
            </w:r>
            <w:r>
              <w:rPr>
                <w:rFonts w:ascii="Times New Roman" w:hAnsi="Times New Roman"/>
                <w:sz w:val="14"/>
                <w:szCs w:val="14"/>
                <w:lang w:val="uk-UA"/>
              </w:rPr>
              <w:t xml:space="preserve"> (лист ДКП  НПУ СЕД 19581/01-2024 </w:t>
              <w:br/>
              <w:t>від 28.06.2024)</w:t>
            </w:r>
            <w:r>
              <w:rPr>
                <w:rFonts w:ascii="Times New Roman" w:hAnsi="Times New Roman"/>
                <w:bCs/>
                <w:sz w:val="14"/>
                <w:szCs w:val="14"/>
                <w:lang w:val="uk-UA"/>
              </w:rPr>
              <w:t>;</w:t>
            </w:r>
          </w:p>
          <w:p>
            <w:pPr>
              <w:pStyle w:val="Normal"/>
              <w:widowControl w:val="false"/>
              <w:tabs>
                <w:tab w:val="clear" w:pos="708"/>
                <w:tab w:val="left" w:pos="567" w:leader="none"/>
                <w:tab w:val="left" w:pos="993" w:leader="none"/>
              </w:tabs>
              <w:spacing w:lineRule="auto" w:line="240" w:before="0" w:after="0"/>
              <w:jc w:val="both"/>
              <w:rPr>
                <w:rFonts w:ascii="Times New Roman" w:hAnsi="Times New Roman"/>
                <w:sz w:val="14"/>
                <w:szCs w:val="14"/>
                <w:lang w:val="uk-UA"/>
              </w:rPr>
            </w:pPr>
            <w:r>
              <w:rPr>
                <w:rFonts w:ascii="Times New Roman" w:hAnsi="Times New Roman"/>
                <w:bCs/>
                <w:kern w:val="2"/>
                <w:sz w:val="14"/>
                <w:szCs w:val="14"/>
                <w:lang w:val="uk-UA"/>
              </w:rPr>
              <w:t xml:space="preserve"> </w:t>
            </w:r>
            <w:r>
              <w:rPr>
                <w:rFonts w:ascii="Times New Roman" w:hAnsi="Times New Roman"/>
                <w:bCs/>
                <w:kern w:val="2"/>
                <w:sz w:val="14"/>
                <w:szCs w:val="14"/>
                <w:lang w:val="uk-UA"/>
              </w:rPr>
              <w:t>«</w:t>
            </w:r>
            <w:r>
              <w:rPr>
                <w:rFonts w:ascii="Times New Roman" w:hAnsi="Times New Roman"/>
                <w:bCs/>
                <w:sz w:val="14"/>
                <w:szCs w:val="14"/>
                <w:lang w:val="uk-UA"/>
              </w:rPr>
              <w:t>Відповідальність за неподання або несвоєчасне подання декларації.  Відповідальність передбачена за подання недостовірних відомостей</w:t>
            </w:r>
            <w:r>
              <w:rPr>
                <w:rFonts w:ascii="Times New Roman" w:hAnsi="Times New Roman"/>
                <w:bCs/>
                <w:kern w:val="2"/>
                <w:sz w:val="14"/>
                <w:szCs w:val="14"/>
                <w:lang w:val="uk-UA"/>
              </w:rPr>
              <w:t xml:space="preserve">» </w:t>
            </w:r>
            <w:r>
              <w:rPr>
                <w:rFonts w:ascii="Times New Roman" w:hAnsi="Times New Roman"/>
                <w:sz w:val="14"/>
                <w:szCs w:val="14"/>
                <w:lang w:val="uk-UA"/>
              </w:rPr>
              <w:t>(лист ДКП  НПУ СЕД19579/01-2024 від 28.06.2024).</w:t>
            </w:r>
          </w:p>
          <w:p>
            <w:pPr>
              <w:pStyle w:val="Normal"/>
              <w:widowControl w:val="false"/>
              <w:tabs>
                <w:tab w:val="clear" w:pos="708"/>
                <w:tab w:val="left" w:pos="567" w:leader="none"/>
                <w:tab w:val="left" w:pos="993" w:leader="none"/>
              </w:tabs>
              <w:spacing w:lineRule="auto" w:line="240" w:before="0" w:after="0"/>
              <w:jc w:val="both"/>
              <w:rPr>
                <w:rFonts w:ascii="Times New Roman" w:hAnsi="Times New Roman"/>
                <w:sz w:val="14"/>
                <w:szCs w:val="14"/>
                <w:lang w:val="uk-UA"/>
              </w:rPr>
            </w:pPr>
            <w:r>
              <w:rPr>
                <w:rFonts w:ascii="Times New Roman" w:hAnsi="Times New Roman"/>
                <w:bCs/>
                <w:kern w:val="2"/>
                <w:sz w:val="14"/>
                <w:szCs w:val="14"/>
                <w:lang w:val="uk-UA"/>
              </w:rPr>
              <w:t xml:space="preserve"> </w:t>
            </w:r>
            <w:r>
              <w:rPr>
                <w:rFonts w:ascii="Times New Roman" w:hAnsi="Times New Roman"/>
                <w:bCs/>
                <w:kern w:val="2"/>
                <w:sz w:val="14"/>
                <w:szCs w:val="14"/>
                <w:lang w:val="uk-UA"/>
              </w:rPr>
              <w:t xml:space="preserve">Додатково оновлені </w:t>
            </w:r>
            <w:r>
              <w:rPr>
                <w:rFonts w:ascii="Times New Roman" w:hAnsi="Times New Roman"/>
                <w:sz w:val="14"/>
                <w:szCs w:val="14"/>
                <w:lang w:val="uk-UA"/>
              </w:rPr>
              <w:t xml:space="preserve">рекомендації для поліцейських, державних службовців та працівників Департаменту, які є суб’єктами декларування про дотримання окремих обмежень, передбачених Законом України «Про запобігання корупції» при прийнятті на службу та звільненні) Лист ДКП  НПУ СЕД 19579/01-2024 </w:t>
              <w:br/>
              <w:t>від 28.06.2024.</w:t>
            </w:r>
          </w:p>
          <w:p>
            <w:pPr>
              <w:pStyle w:val="Normal"/>
              <w:widowControl w:val="false"/>
              <w:numPr>
                <w:ilvl w:val="0"/>
                <w:numId w:val="0"/>
              </w:numPr>
              <w:spacing w:lineRule="auto" w:line="240" w:before="0" w:after="0"/>
              <w:jc w:val="both"/>
              <w:outlineLvl w:val="0"/>
              <w:rPr>
                <w:rFonts w:ascii="Times New Roman" w:hAnsi="Times New Roman"/>
                <w:bCs/>
                <w:kern w:val="2"/>
                <w:sz w:val="14"/>
                <w:szCs w:val="14"/>
                <w:lang w:val="uk-UA"/>
              </w:rPr>
            </w:pPr>
            <w:r>
              <w:rPr>
                <w:rFonts w:ascii="Times New Roman" w:hAnsi="Times New Roman"/>
                <w:bCs/>
                <w:kern w:val="2"/>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здійснюються на постійній основі у робочому порядку у т.ч. під час проведення інструктажів перед несенням служби.</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jc w:val="both"/>
              <w:rPr>
                <w:spacing w:val="-8"/>
                <w:sz w:val="14"/>
                <w:szCs w:val="14"/>
                <w:shd w:fill="FFFFFF" w:val="clear"/>
                <w:lang w:val="uk-UA" w:eastAsia="ru-RU"/>
              </w:rPr>
            </w:pPr>
            <w:r>
              <w:rPr>
                <w:spacing w:val="-8"/>
                <w:sz w:val="14"/>
                <w:szCs w:val="14"/>
                <w:shd w:fill="FFFFFF" w:val="clear"/>
                <w:lang w:val="uk-UA" w:eastAsia="ru-RU"/>
              </w:rPr>
              <w:t>Відповідні додаткові попередження працівників поліції у 1 кварталі 2024 року здійснюються на постійній основі у робочому порядку у т.ч. під час проведення інструктажів перед несенням служби.</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jc w:val="both"/>
              <w:rPr>
                <w:rFonts w:ascii="Times New Roman" w:hAnsi="Times New Roman"/>
                <w:sz w:val="14"/>
                <w:szCs w:val="14"/>
                <w:lang w:val="uk-UA"/>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38</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XI.  Здійснення оперативно-розшукової діяльності</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Можлива недоброчесна поведінка працівників поліції при проведені оперативно-профілактичних заходів (далі-ОПЗ) щодо виявлення нелегальних мігрантів на території України (перевірки ринків, вокзалів, торгівельних центрів тощо)</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Працівник поліції, використовуючи владні повноваження, може  вимагати, прийняти пропозицію, обіцянку або одержати неправомірну вигоду від зацікавлених осіб,  за прикриття протиправної діяльності іноземців або сприянні в уникненні їх від відповідальності за скоєні правопорушення (законне затримання, нескладання адміністративних матеріалів за ст.ст. КУПАП                      №№ 122,203,204,205 тощо)</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1.Недостатні існуючі методи контролю за порядком проведення ОПЗ.</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2.Можлива недоброчесність працівників поліції.</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3.Недостатня  урегульованість внутрішнього алгоритму дій.</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2.Попередження працівників поліції про  відповідальність, яка настає за порушення антикорупційного законодавства</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4"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4"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4"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1.Розробка механізму контролю за недопущенням недоброчесної поведінки поліцейських під час проведення ОПЗ (підготувати доручення відповідним керівникам, щодо необхідності проведення раптових перевірок за діями поліцейських під час проведення ОПЗ)</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2.Оновлення та доведення до особового складу підрозділів НПУ алгоритму дій поліцейського при проведенні ОПЗ</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3.Проведення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30.10.22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Місяць</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ДМП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ЦА</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ДМП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ЦА</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ДМП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ЦА</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Розроблено механізм контролю</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t>Алгоритм дій поліцейського при проведенні ОПЗ оновлено та доведено до особового складу</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0"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28.10.22</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Механізм контролю за недопущенням недоброчесної поведінки поліцейських під час проведення ОПЗ розроблено (доручення ДМП НПУ від 28.10.2022                  № 2033/16/1-2022 про заходи щодо усунення корупційних ризиків)</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tabs>
                <w:tab w:val="clear" w:pos="708"/>
                <w:tab w:val="left" w:pos="0" w:leader="none"/>
                <w:tab w:val="left" w:pos="35" w:leader="none"/>
              </w:tabs>
              <w:jc w:val="both"/>
              <w:rPr>
                <w:rFonts w:ascii="Times New Roman" w:hAnsi="Times New Roman"/>
                <w:spacing w:val="-8"/>
                <w:sz w:val="14"/>
                <w:szCs w:val="14"/>
                <w:shd w:fill="FFFFFF" w:val="clear"/>
                <w:lang w:val="uk-UA" w:eastAsia="ru-RU"/>
              </w:rPr>
            </w:pPr>
            <w:r>
              <w:rPr>
                <w:rFonts w:ascii="Times New Roman" w:hAnsi="Times New Roman"/>
                <w:sz w:val="14"/>
                <w:szCs w:val="14"/>
                <w:lang w:val="uk-UA"/>
              </w:rPr>
              <w:t>ДМП за результатами узагальнення кращих методик і практик виявлення адміністративних і кримінальних правопорушень, вчинених іноземцями, а також виявлення незаконного переправлення осіб через державний кордон України розроблено алгоритм дій поліцейських у ході перевірок законності перебування іноземців на території України  та направлено до головних управлінь в областях та місті Києві для ознайомлення та постійного використання в службовій діяльності. (вих№1078 від 29.06.2022),</w:t>
            </w:r>
            <w:r>
              <w:rPr>
                <w:spacing w:val="-8"/>
                <w:shd w:fill="FFFFFF" w:val="clear"/>
                <w:lang w:val="ru-RU" w:eastAsia="ru-RU"/>
              </w:rPr>
              <w:t xml:space="preserve"> </w:t>
            </w:r>
            <w:r>
              <w:rPr>
                <w:rFonts w:ascii="Times New Roman" w:hAnsi="Times New Roman"/>
                <w:spacing w:val="-8"/>
                <w:sz w:val="14"/>
                <w:szCs w:val="14"/>
                <w:shd w:fill="FFFFFF" w:val="clear"/>
                <w:lang w:val="uk-UA" w:eastAsia="ru-RU"/>
              </w:rPr>
              <w:t>про що наголошується у щомісячних оперативних нарадах підрозділів ДМП.</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spacing w:lineRule="auto" w:line="240" w:before="0" w:after="0"/>
              <w:ind w:right="137" w:hanging="0"/>
              <w:jc w:val="both"/>
              <w:rPr>
                <w:rFonts w:ascii="Times New Roman" w:hAnsi="Times New Roman"/>
                <w:spacing w:val="-8"/>
                <w:sz w:val="14"/>
                <w:szCs w:val="14"/>
                <w:shd w:fill="FFFFFF" w:val="clear"/>
                <w:lang w:val="uk-UA" w:eastAsia="ru-RU"/>
              </w:rPr>
            </w:pPr>
            <w:hyperlink r:id="rId17">
              <w:r>
                <w:rPr>
                  <w:rStyle w:val="Hyperlink"/>
                  <w:rFonts w:ascii="Times New Roman" w:hAnsi="Times New Roman"/>
                  <w:color w:val="000000"/>
                  <w:spacing w:val="-8"/>
                  <w:sz w:val="14"/>
                  <w:szCs w:val="14"/>
                  <w:shd w:fill="FFFFFF" w:val="clear"/>
                  <w:lang w:eastAsia="ru-RU"/>
                </w:rPr>
                <w:t>https</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www</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npu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gov</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ua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pro</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policiyu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zapobigannya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protidiya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korupciyi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vidpovidalnist</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za</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korupcijni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abo</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povyazani</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z</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korupciyeyu</w:t>
              </w:r>
              <w:r>
                <w:rPr>
                  <w:rStyle w:val="Hyperlink"/>
                  <w:rFonts w:ascii="Times New Roman" w:hAnsi="Times New Roman"/>
                  <w:color w:val="000000"/>
                  <w:spacing w:val="-8"/>
                  <w:sz w:val="14"/>
                  <w:szCs w:val="14"/>
                  <w:shd w:fill="FFFFFF" w:val="clear"/>
                  <w:lang w:val="uk-UA" w:eastAsia="ru-RU"/>
                </w:rPr>
                <w:t>-</w:t>
              </w:r>
              <w:r>
                <w:rPr>
                  <w:rStyle w:val="Hyperlink"/>
                  <w:rFonts w:ascii="Times New Roman" w:hAnsi="Times New Roman"/>
                  <w:color w:val="000000"/>
                  <w:spacing w:val="-8"/>
                  <w:sz w:val="14"/>
                  <w:szCs w:val="14"/>
                  <w:shd w:fill="FFFFFF" w:val="clear"/>
                  <w:lang w:eastAsia="ru-RU"/>
                </w:rPr>
                <w:t>pravoporushennya</w:t>
              </w:r>
            </w:hyperlink>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т.ч., Європейського суду з прав людини.</w:t>
            </w:r>
          </w:p>
          <w:p>
            <w:pPr>
              <w:pStyle w:val="Normal"/>
              <w:widowControl w:val="false"/>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jc w:val="both"/>
              <w:rPr>
                <w:rFonts w:ascii="Times New Roman" w:hAnsi="Times New Roman"/>
                <w:bCs/>
                <w:iCs/>
                <w:sz w:val="14"/>
                <w:szCs w:val="14"/>
                <w:lang w:val="uk-UA"/>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39</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XI.  Здійснення оперативно-розшукової діяльності</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Можливі зловживання своїми посадовими обов’язками працівниками поліції в частині неналежної організації заходів щодо знищення вилучених із незаконного обігу наркотичних засобів, психотропних речовин та прекурсорів, з метою отримання неправомірної вигоди від зацікавлених осіб</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Працівники поліції, використовуючи службові повноваження,</w:t>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 xml:space="preserve"> </w:t>
            </w:r>
            <w:r>
              <w:rPr>
                <w:rFonts w:ascii="Times New Roman" w:hAnsi="Times New Roman"/>
                <w:sz w:val="14"/>
                <w:szCs w:val="14"/>
                <w:lang w:val="uk-UA"/>
              </w:rPr>
              <w:t>можуть  вимагати, прийняти пропозицію, обіцянку або одержати неправомірну вигоду від зацікавлених осіб  за неналежне виконання своїх службових обов’язків пов’язану із вилученням, обліком, зберіганням та подальшим  знищенням вилучених із незаконного обігу наркотичних засобів, психотропних речовин та прекурсорів</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 Неналежне нормативно-правове забезпечення організації заходів щодо знищення вилучених із незаконного обігу наркотичних засобів, психотропних речовин та прекурсорів, а також обладнання для їх виготовлення</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2.Недостатні існуючі методи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посадових осіб поліції</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1.Часткове врегулювання спільним наказом МВС, СБУ, ГПУ, МОЗ, МЮУ, ВСУ «Про затвердження Інструкції про порядок знищення вилучених із незаконного обігу наркотичних засобів, психотропних речовин та прекурсорів, використання яких у законному обігу визнано недоцільним, а також обладнання для їх виготовлення»</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3</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вис</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1.Надання пропозицій до МВС по створенню нового організаційно-розпорядчого документа для  визначення детальної процедури (алгоритму) організації заходів щодо знищення вилучених із незаконного обігу наркотичних засобів, психотропних речовин та прекурсорів</w:t>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2.Затвердження зразків документів у т.ч.  фіксації (фото, відео) процесу знищення вилучених із незаконного обігу наркотичних засобів, психотропних речовин та прекурсорів, та терміни зберігання таких документів</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3.Проведення звірок  щодо наявності та правильного зберігання вилученого майна</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4.Проводення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30.06.22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Після створен.</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відповідного</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докум.</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ДБН</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ДБН</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ДБН</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ДБН</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Надані відповідні пропозиції до МВС</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Відповідний порядок</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розроблений</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(номер та дата наказу)</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Проведено звірки зберігання вилученого майна</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30.03.23</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t>31.03.23</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5" w:right="-9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266" w:right="-227"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0"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5" w:right="-119"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 2023 році ДБН НПУ із врахуванням пропозицій Офісу Генерального прокурора внесено зміни до проєктів наказів і змісту Порядку та наразі їх повторно разом з аркушами погодження скеровано до МВС листом Національної поліції України від 28.03.2023                     № 105/01/40-2023 дск.</w:t>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ДБН розроблено проект міжвідомчого наказу «Про затвердження Порядку знищення вилучених з незаконного обігу наркотичних засобів, психотропних речовин і прекурсорів, використання яких у законному обігу визнано недоцільним, а також обладнання для їх виготовлення», додаток до якого передбачає комісійну фіксацію процесу знищення наркотичних засобів вилучених з незаконного обігу. Проект наказу проходить погодження в центральних органах виконавчої влади. (№№ 94/01/40-2022, 95/01/40-2022, 96/01/40-2022, 97/01/40-2022, 98/01/40-2022, 100/01/40-2022, 94/01/40-2022 від 16.06.2022 за підписом Голови НПУ)</w:t>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Проведення звірок   умов зберігання вилучених з незаконного обігу наркотичних засобів визначено «Порядком зберігання наркотичних засобів, психотропних речовин і прекурсорів, вилучених з незаконного обігу» затвердженого постановою Кабінет Міністрів України від 07.05.2008 року № 422.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Керівництвом ДБН було ініційовано лист-пропозицію до ГСУ НПУ                     (№ 2434/40/18/01-2022 від 10 серпня), щодо доцільності питання ініціювання організації перевірок наявності та правильного зберігання вилучених речових доказів у територіальних органах Національної поліції.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Згідно із дорученням заступника Голови -начальника ГСУ від 20.05.2022                         № 3330/05/24-2022 заступників начальників ГУНП – начальників СУ в областях зобов’язано організувати проведення щоквартальної інвентаризації речових доказів.  Спільні звірки у разі необхідності будуть запровадженні після припинення військового стану на території України</w:t>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2"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 2 кварталі 2023 року у підрозділах ДБН НПУ проведено 4 додаткових навчань, у т.ч. на платформі ZOOM, зі знання антикорупційного законодавства, із врахуванням внесення до нього змін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ind w:right="3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4 кварталу  2023 року у підрозділах ДБН проведено  4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eastAsia="Cambria Math"/>
                <w:kern w:val="2"/>
                <w:sz w:val="14"/>
                <w:szCs w:val="14"/>
                <w:lang w:val="uk-UA" w:eastAsia="ru-RU"/>
              </w:rPr>
            </w:pPr>
            <w:r>
              <w:rPr>
                <w:rFonts w:ascii="Times New Roman" w:hAnsi="Times New Roman"/>
                <w:spacing w:val="-8"/>
                <w:sz w:val="14"/>
                <w:szCs w:val="14"/>
                <w:shd w:fill="FFFFFF" w:val="clear"/>
                <w:lang w:val="uk-UA" w:eastAsia="ru-RU"/>
              </w:rPr>
              <w:t xml:space="preserve">З метою посилення виконання заходів </w:t>
            </w:r>
            <w:r>
              <w:rPr>
                <w:rFonts w:ascii="Times New Roman" w:hAnsi="Times New Roman"/>
                <w:sz w:val="14"/>
                <w:szCs w:val="14"/>
                <w:lang w:val="uk-UA"/>
              </w:rPr>
              <w:t xml:space="preserve">щодо недопущення порушень при проведенні знищення у т.ч. і вилучених із незаконного обігу наркотичних засобів, психотропних речовин та прекурсорів, </w:t>
            </w:r>
            <w:r>
              <w:rPr>
                <w:rFonts w:eastAsia="Cambria Math" w:ascii="Times New Roman" w:hAnsi="Times New Roman"/>
                <w:kern w:val="2"/>
                <w:sz w:val="14"/>
                <w:szCs w:val="14"/>
                <w:lang w:val="uk-UA" w:eastAsia="ru-RU"/>
              </w:rPr>
              <w:t>Головою НПУ надано відповідне доручення керівникам підрозділів поліції (№ СЕД-8994/01-2023 від 05.12.2023).</w:t>
            </w:r>
          </w:p>
          <w:p>
            <w:pPr>
              <w:pStyle w:val="Normal"/>
              <w:widowControl w:val="false"/>
              <w:spacing w:lineRule="auto" w:line="240" w:before="0" w:after="0"/>
              <w:jc w:val="both"/>
              <w:rPr>
                <w:rFonts w:ascii="Times New Roman" w:hAnsi="Times New Roman" w:eastAsia="Cambria Math"/>
                <w:kern w:val="2"/>
                <w:sz w:val="14"/>
                <w:szCs w:val="14"/>
                <w:lang w:val="uk-UA" w:eastAsia="ru-RU"/>
              </w:rPr>
            </w:pPr>
            <w:r>
              <w:rPr>
                <w:rFonts w:ascii="Times New Roman" w:hAnsi="Times New Roman"/>
                <w:spacing w:val="-8"/>
                <w:sz w:val="14"/>
                <w:szCs w:val="14"/>
                <w:shd w:fill="FFFFFF" w:val="clear"/>
                <w:lang w:val="uk-UA" w:eastAsia="ru-RU"/>
              </w:rPr>
              <w:t xml:space="preserve">З метою посилення виконання заходів </w:t>
            </w:r>
            <w:r>
              <w:rPr>
                <w:rFonts w:ascii="Times New Roman" w:hAnsi="Times New Roman"/>
                <w:sz w:val="14"/>
                <w:szCs w:val="14"/>
                <w:lang w:val="uk-UA"/>
              </w:rPr>
              <w:t xml:space="preserve">щодо недопущення порушень при проведенні знищення у т.ч. і вилучених із незаконного обігу наркотичних засобів, психотропних речовин та прекурсорів, </w:t>
            </w:r>
            <w:r>
              <w:rPr>
                <w:rFonts w:eastAsia="Cambria Math" w:ascii="Times New Roman" w:hAnsi="Times New Roman"/>
                <w:kern w:val="2"/>
                <w:sz w:val="14"/>
                <w:szCs w:val="14"/>
                <w:lang w:val="uk-UA" w:eastAsia="ru-RU"/>
              </w:rPr>
              <w:t>Головою НПУ надано відповідне доручення керівникам підрозділів поліції (№ СЕД-8994/01-2023 від 05.12.2023).</w:t>
            </w:r>
          </w:p>
          <w:p>
            <w:pPr>
              <w:pStyle w:val="Normal"/>
              <w:widowControl w:val="false"/>
              <w:spacing w:lineRule="auto" w:line="240" w:before="0" w:after="0"/>
              <w:ind w:right="3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півріччя 2024 року у підрозділах ДБН проведено  2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uppressAutoHyphens w:val="tru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Також, за допомогою платформи ZOOM протягом 1 кварталу 2024 року проведено 5 онлайн навчань на тему фінансова доброчесність під час заповнення декларацій.</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40</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XI.  Здійснення оперативно-розшукової діяльності</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Можливе затягування працівниками поліції виконання доручень слідчого, проведення НСРД, з метою отримання неправомірної вигоди</w:t>
            </w:r>
          </w:p>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від зацікавлених третіх осіб</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 xml:space="preserve">Працівниками поліції, використовуючи службові повноваження з метою отримання неправомірної вигоди </w:t>
            </w:r>
          </w:p>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від зацікавлених третіх осіб мають потенційну можливість затягування виконання доручень слідчого, проведення НСРД та інших оперативно-розшукових заходів</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урегульованість організаційно-розпорядчих актів</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2.Недостатні існуючі методи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працівників поліції</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1.Врегулювання внутрішньої процедури посиленого моніторингу за керівниками, яким безпосередньо підпорядковані оперативні працівники</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 w:right="-96" w:hanging="0"/>
              <w:rPr>
                <w:rFonts w:ascii="Times New Roman" w:hAnsi="Times New Roman"/>
                <w:sz w:val="14"/>
                <w:szCs w:val="14"/>
                <w:lang w:val="uk-UA"/>
              </w:rPr>
            </w:pPr>
            <w:r>
              <w:rPr>
                <w:rFonts w:ascii="Times New Roman" w:hAnsi="Times New Roman"/>
                <w:sz w:val="14"/>
                <w:szCs w:val="14"/>
                <w:lang w:val="uk-UA"/>
              </w:rPr>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1</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низ</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1.Розробка організаційно-розпорядчого документу щодо порядку проведення щомісячних  звірок виконання працівниками поліції ДБН доручень слідчого, проведень НСРД</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2.Організувати інформування громадськості про виявлені факти корупційних проявів з боку працівників поліції ДБН та про заходи, які вживаються керівництвом ДБН для їх подолання</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3.Проводення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hanging="0"/>
              <w:rPr>
                <w:rFonts w:ascii="Times New Roman" w:hAnsi="Times New Roman"/>
                <w:sz w:val="14"/>
                <w:szCs w:val="14"/>
                <w:lang w:val="uk-UA"/>
              </w:rPr>
            </w:pPr>
            <w:r>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30.04.22</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Постійно</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ДБН</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ДБН</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ДБН</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ДБН</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Розроблено наказ щодо порядку проведення щомісячних  звірок виконання доручень</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 xml:space="preserve">Організовано заходи з  інформування громадськості про  факти корупційних проявів у працівників </w:t>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06" w:hanging="0"/>
              <w:jc w:val="center"/>
              <w:rPr>
                <w:rFonts w:ascii="Times New Roman" w:hAnsi="Times New Roman"/>
                <w:sz w:val="14"/>
                <w:szCs w:val="14"/>
                <w:lang w:val="uk-UA"/>
              </w:rPr>
            </w:pPr>
            <w:r>
              <w:rPr>
                <w:rFonts w:ascii="Times New Roman" w:hAnsi="Times New Roman"/>
                <w:sz w:val="14"/>
                <w:szCs w:val="14"/>
                <w:lang w:val="uk-UA"/>
              </w:rPr>
              <w:t>Відповідні додаткові попередження працівників поліції здійснено</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13.01.22</w:t>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21"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4"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Відповідний організаційно-розпорядчий документ розроблено - доручення ДБН НПУ від 13.01.2022 року №138/40/5/01-2022</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Моніторинг та аналіз щомісячних звірок   проводиться на постійній основі.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На 30.06.2024  порушень не виявлено.</w:t>
            </w:r>
          </w:p>
          <w:p>
            <w:pPr>
              <w:pStyle w:val="Normal"/>
              <w:widowControl w:val="false"/>
              <w:spacing w:lineRule="auto" w:line="240" w:before="0" w:after="0"/>
              <w:jc w:val="both"/>
              <w:rPr>
                <w:bCs/>
                <w:lang w:val="ru-RU"/>
              </w:rPr>
            </w:pPr>
            <w:r>
              <w:rPr>
                <w:bCs/>
                <w:lang w:val="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У 2 кварталі 2023 року у підрозділах ДБН НПУ проведено 4 додаткових навчань, у т.ч. на платформі ZOOM, зі знання антикорупційного законодавства, із врахуванням внесення до нього змін з попередженням  про відповідальність, яка настає за  порушення антикорупційного законодавства.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 4 кварталі 2023 року у підрозділах ДБН НПУ проведено 4 додаткових навчань, у т.ч. на платформі ZOOM, зі знання антикорупційного законодавства, із врахуванням внесення до нього змін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ind w:right="3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у підрозділах ДБН проведено  2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jc w:val="both"/>
              <w:rPr>
                <w:rFonts w:ascii="Times New Roman" w:hAnsi="Times New Roman" w:eastAsia="Cambria Math"/>
                <w:kern w:val="2"/>
                <w:sz w:val="14"/>
                <w:szCs w:val="14"/>
                <w:lang w:val="uk-UA" w:eastAsia="ru-RU"/>
              </w:rPr>
            </w:pPr>
            <w:r>
              <w:rPr>
                <w:rFonts w:ascii="Times New Roman" w:hAnsi="Times New Roman"/>
                <w:spacing w:val="-8"/>
                <w:sz w:val="14"/>
                <w:szCs w:val="14"/>
                <w:shd w:fill="FFFFFF" w:val="clear"/>
                <w:lang w:val="uk-UA" w:eastAsia="ru-RU"/>
              </w:rPr>
              <w:t xml:space="preserve">З метою посилення виконання заходів </w:t>
            </w:r>
            <w:r>
              <w:rPr>
                <w:rFonts w:ascii="Times New Roman" w:hAnsi="Times New Roman"/>
                <w:sz w:val="14"/>
                <w:szCs w:val="14"/>
                <w:lang w:val="uk-UA"/>
              </w:rPr>
              <w:t xml:space="preserve">щодо недопущення порушень при проведенні знищення у т.ч. і вилучених із незаконного обігу наркотичних засобів, психотропних речовин та прекурсорів, </w:t>
            </w:r>
            <w:r>
              <w:rPr>
                <w:rFonts w:eastAsia="Cambria Math" w:ascii="Times New Roman" w:hAnsi="Times New Roman"/>
                <w:kern w:val="2"/>
                <w:sz w:val="14"/>
                <w:szCs w:val="14"/>
                <w:lang w:val="uk-UA" w:eastAsia="ru-RU"/>
              </w:rPr>
              <w:t>Головою НПУ надано відповідне доручення керівникам підрозділів поліції (№ СЕД-8994/01-2023 від 05.12.2023).</w:t>
            </w:r>
          </w:p>
          <w:p>
            <w:pPr>
              <w:pStyle w:val="Normal"/>
              <w:widowControl w:val="false"/>
              <w:spacing w:lineRule="auto" w:line="240" w:before="0" w:after="0"/>
              <w:ind w:right="3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2 кварталу 2024 року у підрозділах ДБН проведено  1 додаткове  навчання (тренінг)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spacing w:lineRule="auto" w:line="240" w:before="0" w:after="0"/>
              <w:ind w:right="3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ind w:right="3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Відповідні попередження проводяться на постійні основі, відповідно до Доручення ДБН НПУ від 13.01.2022 року №138/40/5/01-2022 та плану основних заходів ДБН НПУ впродовж І півріччя 2023 року.</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у 2 півріччі 2023 року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(доручення Голови НПУ від 12.07.2023 № 25206).</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Додатковий  контроль та попередження працівників поліції у т.ч. за дотриманням антикорупційного законодавства при виконанні службових обов’язків запроваджено (протокол наради керівництва НПУ № 44 від 20.12.23)</w:t>
            </w:r>
          </w:p>
          <w:p>
            <w:pPr>
              <w:pStyle w:val="Normal"/>
              <w:widowControl w:val="false"/>
              <w:spacing w:lineRule="auto" w:line="240" w:before="0" w:after="0"/>
              <w:ind w:right="34" w:hanging="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та своєчасним поданням декларацій за 2023 рік, дотримання Правил етичної поведінки поліцейських (протокольне доручення Голови НПУ № 21843/01-2024 від 11.03.2024).</w:t>
            </w:r>
          </w:p>
          <w:p>
            <w:pPr>
              <w:pStyle w:val="Normal"/>
              <w:widowControl w:val="false"/>
              <w:spacing w:lineRule="auto" w:line="240" w:before="0" w:after="0"/>
              <w:ind w:right="34" w:hanging="0"/>
              <w:jc w:val="both"/>
              <w:rPr>
                <w:rFonts w:ascii="Times New Roman" w:hAnsi="Times New Roman"/>
                <w:spacing w:val="-8"/>
                <w:sz w:val="14"/>
                <w:szCs w:val="14"/>
                <w:shd w:fill="FFFFFF" w:val="clear"/>
                <w:lang w:val="uk-UA" w:eastAsia="ru-RU"/>
              </w:rPr>
            </w:pPr>
            <w:r>
              <w:rPr>
                <w:rStyle w:val="Hyperlink"/>
                <w:rFonts w:ascii="Times New Roman" w:hAnsi="Times New Roman"/>
                <w:color w:val="000000"/>
                <w:spacing w:val="-8"/>
                <w:sz w:val="14"/>
                <w:szCs w:val="14"/>
                <w:u w:val="none"/>
                <w:shd w:fill="FFFFFF" w:val="clear"/>
                <w:lang w:val="uk-UA" w:eastAsia="ru-RU"/>
              </w:rPr>
              <w:t xml:space="preserve">Додатково доручено керівникам підрозділів поліції посилити контроль за діяльністю підпорядкованого особового складу для зменшення кількості надзвичайних подій за участю працівників поліції у т.ч. за </w:t>
            </w:r>
            <w:r>
              <w:rPr>
                <w:rFonts w:ascii="Times New Roman" w:hAnsi="Times New Roman"/>
                <w:spacing w:val="-8"/>
                <w:sz w:val="14"/>
                <w:szCs w:val="14"/>
                <w:shd w:fill="FFFFFF" w:val="clear"/>
                <w:lang w:val="uk-UA" w:eastAsia="ru-RU"/>
              </w:rPr>
              <w:t xml:space="preserve"> порушення антикорупційного законодавства, дотримання Правил етичної поведінки поліцейських (протокольне доручення Голови НПУ № 32887/01-2024 від 12.04.2024).</w:t>
            </w:r>
          </w:p>
        </w:tc>
      </w:tr>
      <w:tr>
        <w:trPr>
          <w:trHeight w:val="45" w:hRule="atLeast"/>
        </w:trPr>
        <w:tc>
          <w:tcPr>
            <w:tcW w:w="27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08" w:right="-101" w:hanging="0"/>
              <w:jc w:val="center"/>
              <w:rPr>
                <w:rFonts w:ascii="Times New Roman" w:hAnsi="Times New Roman"/>
                <w:sz w:val="14"/>
                <w:szCs w:val="14"/>
                <w:lang w:val="uk-UA"/>
              </w:rPr>
            </w:pPr>
            <w:r>
              <w:rPr>
                <w:rFonts w:ascii="Times New Roman" w:hAnsi="Times New Roman"/>
                <w:sz w:val="14"/>
                <w:szCs w:val="14"/>
                <w:lang w:val="uk-UA"/>
              </w:rPr>
              <w:t>41</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t>XI.  Здійснення оперативно-розшукової діяльності</w:t>
            </w:r>
          </w:p>
        </w:tc>
        <w:tc>
          <w:tcPr>
            <w:tcW w:w="124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2" w:hanging="0"/>
              <w:rPr>
                <w:rFonts w:ascii="Times New Roman" w:hAnsi="Times New Roman"/>
                <w:sz w:val="14"/>
                <w:szCs w:val="14"/>
                <w:lang w:val="uk-UA"/>
              </w:rPr>
            </w:pPr>
            <w:r>
              <w:rPr>
                <w:rFonts w:ascii="Times New Roman" w:hAnsi="Times New Roman"/>
                <w:sz w:val="14"/>
                <w:szCs w:val="14"/>
                <w:lang w:val="uk-UA"/>
              </w:rPr>
              <w:t>Ймовірна недоброчесна поведінка працівників поліції, яка полягає у можливому виникненні зв’язків з особами, які утримують місця розпусти і звідництво, являються сутенерами</w:t>
            </w:r>
          </w:p>
        </w:tc>
        <w:tc>
          <w:tcPr>
            <w:tcW w:w="108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27" w:right="-90" w:hanging="0"/>
              <w:rPr>
                <w:rFonts w:ascii="Times New Roman" w:hAnsi="Times New Roman"/>
                <w:sz w:val="14"/>
                <w:szCs w:val="14"/>
                <w:lang w:val="uk-UA"/>
              </w:rPr>
            </w:pPr>
            <w:r>
              <w:rPr>
                <w:rFonts w:ascii="Times New Roman" w:hAnsi="Times New Roman"/>
                <w:sz w:val="14"/>
                <w:szCs w:val="14"/>
                <w:lang w:val="uk-UA"/>
              </w:rPr>
              <w:t>Поліцейський використовуючи владні повноваження може  вимагати, прийняти пропозицію, обіцянку або одержати неправомірну вигоду за прикриття («кришування») осіб, які утримують місця розпусти і звідництво             (сутенерів)</w:t>
            </w:r>
          </w:p>
        </w:tc>
        <w:tc>
          <w:tcPr>
            <w:tcW w:w="1091"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1.Недостатня  урегульованість внутрішнього алгоритму дій</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2.Недостатня ефективність системи відомчого контролю</w:t>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3" w:right="-78" w:firstLine="3"/>
              <w:rPr>
                <w:rFonts w:ascii="Times New Roman" w:hAnsi="Times New Roman"/>
                <w:sz w:val="14"/>
                <w:szCs w:val="14"/>
                <w:lang w:val="uk-UA"/>
              </w:rPr>
            </w:pPr>
            <w:r>
              <w:rPr>
                <w:rFonts w:ascii="Times New Roman" w:hAnsi="Times New Roman"/>
                <w:sz w:val="14"/>
                <w:szCs w:val="14"/>
                <w:lang w:val="uk-UA"/>
              </w:rPr>
              <w:t>3.Можлива недоброчесність   поліцейських,  зловживання службовим становищем</w:t>
            </w:r>
          </w:p>
        </w:tc>
        <w:tc>
          <w:tcPr>
            <w:tcW w:w="117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right="-96" w:hanging="0"/>
              <w:rPr>
                <w:rFonts w:ascii="Times New Roman" w:hAnsi="Times New Roman"/>
                <w:sz w:val="14"/>
                <w:szCs w:val="14"/>
                <w:lang w:val="uk-UA"/>
              </w:rPr>
            </w:pPr>
            <w:r>
              <w:rPr>
                <w:rFonts w:ascii="Times New Roman" w:hAnsi="Times New Roman"/>
                <w:sz w:val="14"/>
                <w:szCs w:val="14"/>
                <w:lang w:val="uk-UA"/>
              </w:rPr>
              <w:t xml:space="preserve">1. Розгляд звернень громадян </w:t>
            </w:r>
          </w:p>
          <w:p>
            <w:pPr>
              <w:pStyle w:val="Normal"/>
              <w:widowControl w:val="false"/>
              <w:spacing w:lineRule="auto" w:line="240" w:before="0" w:after="0"/>
              <w:ind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6" w:hanging="0"/>
              <w:rPr>
                <w:rFonts w:ascii="Times New Roman" w:hAnsi="Times New Roman"/>
                <w:sz w:val="14"/>
                <w:szCs w:val="14"/>
                <w:lang w:val="uk-UA"/>
              </w:rPr>
            </w:pPr>
            <w:r>
              <w:rPr>
                <w:rFonts w:ascii="Times New Roman" w:hAnsi="Times New Roman"/>
                <w:sz w:val="14"/>
                <w:szCs w:val="14"/>
                <w:lang w:val="uk-UA"/>
              </w:rPr>
              <w:t xml:space="preserve">2. Заходи відомчого контролю </w:t>
            </w:r>
          </w:p>
          <w:p>
            <w:pPr>
              <w:pStyle w:val="Normal"/>
              <w:widowControl w:val="false"/>
              <w:spacing w:lineRule="auto" w:line="240" w:before="0" w:after="0"/>
              <w:ind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6" w:hanging="0"/>
              <w:rPr>
                <w:rFonts w:ascii="Times New Roman" w:hAnsi="Times New Roman"/>
                <w:sz w:val="14"/>
                <w:szCs w:val="14"/>
                <w:lang w:val="uk-UA"/>
              </w:rPr>
            </w:pPr>
            <w:r>
              <w:rPr>
                <w:rFonts w:ascii="Times New Roman" w:hAnsi="Times New Roman"/>
                <w:sz w:val="14"/>
                <w:szCs w:val="14"/>
                <w:lang w:val="uk-UA"/>
              </w:rPr>
              <w:t>3.Вивчення стану сімейно-побутових умов працівників поліції</w:t>
            </w:r>
          </w:p>
          <w:p>
            <w:pPr>
              <w:pStyle w:val="Normal"/>
              <w:widowControl w:val="false"/>
              <w:spacing w:lineRule="auto" w:line="240" w:before="0" w:after="0"/>
              <w:ind w:right="-9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96" w:hanging="0"/>
              <w:rPr>
                <w:rFonts w:ascii="Times New Roman" w:hAnsi="Times New Roman"/>
                <w:sz w:val="14"/>
                <w:szCs w:val="14"/>
                <w:lang w:val="uk-UA"/>
              </w:rPr>
            </w:pPr>
            <w:r>
              <w:rPr>
                <w:rFonts w:ascii="Times New Roman" w:hAnsi="Times New Roman"/>
                <w:sz w:val="14"/>
                <w:szCs w:val="14"/>
                <w:lang w:val="uk-UA"/>
              </w:rPr>
              <w:t>4. Попередження працівників поліції про відповідальність, яка настає за порушення антикорупційного законодавства</w:t>
            </w:r>
          </w:p>
        </w:tc>
        <w:tc>
          <w:tcPr>
            <w:tcW w:w="26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8"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2</w:t>
            </w:r>
          </w:p>
        </w:tc>
        <w:tc>
          <w:tcPr>
            <w:tcW w:w="279"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0" w:right="-118" w:hanging="0"/>
              <w:jc w:val="center"/>
              <w:rPr>
                <w:rFonts w:ascii="Times New Roman" w:hAnsi="Times New Roman"/>
                <w:sz w:val="14"/>
                <w:szCs w:val="14"/>
                <w:lang w:val="uk-UA"/>
              </w:rPr>
            </w:pPr>
            <w:r>
              <w:rPr>
                <w:rFonts w:ascii="Times New Roman" w:hAnsi="Times New Roman"/>
                <w:sz w:val="14"/>
                <w:szCs w:val="14"/>
                <w:lang w:val="uk-UA"/>
              </w:rPr>
              <w:t>сер</w:t>
            </w:r>
          </w:p>
        </w:tc>
        <w:tc>
          <w:tcPr>
            <w:tcW w:w="1892"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1.Розробити внутрішню процедуру (інструкцію) виявлення недоброчесних працівників поліції</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2.Розробка порядку здійснення перевірок на доброчесність та моніторингу способу життя працівників  поліції, в якому передбачити проведення тестування, в тому числі із використанням поліграфу, працівників органів досудового розслідування на доброчесність</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3.Підготовка доручення відповідним керівникам щодо проведення раптових перевірок працівників поліції під час проведення профілактичних відпрацювань можливих місць розпусти тощо із залученням працівників ДВБ</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4.Проводення моніторингу способу життя працівників поліції ДМП, з метою встановлення у них можливих незаконних додаткових доходів</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5.Інформування громадськості за допомогою мережі інтернет,  телебачення тощо,  про надання інформації у т.ч. анонімної про відомі їм факти прикриття («кришування») працівниками поліції осіб, які утримують місця розпусти і звідництво (сутенерів)</w:t>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5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64" w:right="-157" w:hanging="0"/>
              <w:rPr>
                <w:rFonts w:ascii="Times New Roman" w:hAnsi="Times New Roman"/>
                <w:sz w:val="14"/>
                <w:szCs w:val="14"/>
                <w:lang w:val="uk-UA"/>
              </w:rPr>
            </w:pPr>
            <w:r>
              <w:rPr>
                <w:rFonts w:ascii="Times New Roman" w:hAnsi="Times New Roman"/>
                <w:sz w:val="14"/>
                <w:szCs w:val="14"/>
                <w:lang w:val="uk-UA"/>
              </w:rPr>
              <w:t>6.Проводення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30.03.23</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30.03.23</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30.03.23</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8" w:hanging="0"/>
              <w:jc w:val="center"/>
              <w:rPr>
                <w:rFonts w:ascii="Times New Roman" w:hAnsi="Times New Roman"/>
                <w:sz w:val="14"/>
                <w:szCs w:val="14"/>
                <w:lang w:val="uk-UA"/>
              </w:rPr>
            </w:pPr>
            <w:r>
              <w:rPr>
                <w:rFonts w:ascii="Times New Roman" w:hAnsi="Times New Roman"/>
                <w:sz w:val="14"/>
                <w:szCs w:val="14"/>
                <w:lang w:val="uk-UA"/>
              </w:rPr>
              <w:t>Квартал</w:t>
            </w:r>
          </w:p>
        </w:tc>
        <w:tc>
          <w:tcPr>
            <w:tcW w:w="427"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ДМП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ДМП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ДМП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ДМП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ДВБ</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ДМП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7"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УЗК</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ДМП</w:t>
            </w:r>
          </w:p>
          <w:p>
            <w:pPr>
              <w:pStyle w:val="Normal"/>
              <w:widowControl w:val="false"/>
              <w:spacing w:lineRule="auto" w:line="240" w:before="0" w:after="0"/>
              <w:ind w:left="-99" w:right="-107" w:hanging="0"/>
              <w:jc w:val="center"/>
              <w:rPr>
                <w:rFonts w:ascii="Times New Roman" w:hAnsi="Times New Roman"/>
                <w:sz w:val="14"/>
                <w:szCs w:val="14"/>
                <w:lang w:val="uk-UA"/>
              </w:rPr>
            </w:pPr>
            <w:r>
              <w:rPr>
                <w:rFonts w:ascii="Times New Roman" w:hAnsi="Times New Roman"/>
                <w:sz w:val="14"/>
                <w:szCs w:val="14"/>
                <w:lang w:val="uk-UA"/>
              </w:rPr>
              <w:t>ТОП</w:t>
            </w:r>
          </w:p>
        </w:tc>
        <w:tc>
          <w:tcPr>
            <w:tcW w:w="814"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6" w:right="-118" w:hanging="0"/>
              <w:jc w:val="center"/>
              <w:rPr>
                <w:rFonts w:ascii="Times New Roman" w:hAnsi="Times New Roman"/>
                <w:sz w:val="14"/>
                <w:szCs w:val="14"/>
                <w:lang w:val="uk-UA"/>
              </w:rPr>
            </w:pPr>
            <w:r>
              <w:rPr>
                <w:rFonts w:ascii="Times New Roman" w:hAnsi="Times New Roman"/>
                <w:sz w:val="14"/>
                <w:szCs w:val="14"/>
                <w:lang w:val="uk-UA"/>
              </w:rPr>
              <w:t>Не потребує додаткових фінансових витрат</w:t>
            </w:r>
          </w:p>
        </w:tc>
        <w:tc>
          <w:tcPr>
            <w:tcW w:w="1056"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Процедуру розроблено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Порядок розроблено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t>Доручення підготовлено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Заходи, за участі  громадськості проведено.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Відповідну інформацію оприлюднено</w:t>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6"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98" w:right="-106" w:hanging="0"/>
              <w:jc w:val="center"/>
              <w:rPr>
                <w:rFonts w:ascii="Times New Roman" w:hAnsi="Times New Roman"/>
                <w:sz w:val="14"/>
                <w:szCs w:val="14"/>
                <w:lang w:val="uk-UA"/>
              </w:rPr>
            </w:pPr>
            <w:r>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530"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16.03.23</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17.03.23</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16.03.23</w:t>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05"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t>30.06.24</w:t>
            </w:r>
          </w:p>
          <w:p>
            <w:pPr>
              <w:pStyle w:val="Normal"/>
              <w:widowControl w:val="false"/>
              <w:spacing w:lineRule="auto" w:line="240" w:before="0" w:after="0"/>
              <w:ind w:left="-123" w:right="-12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6" w:right="-105" w:hanging="0"/>
              <w:jc w:val="center"/>
              <w:rPr>
                <w:rFonts w:ascii="Times New Roman" w:hAnsi="Times New Roman"/>
                <w:sz w:val="14"/>
                <w:szCs w:val="14"/>
                <w:lang w:val="uk-UA"/>
              </w:rPr>
            </w:pPr>
            <w:r>
              <w:rPr>
                <w:rFonts w:ascii="Times New Roman" w:hAnsi="Times New Roman"/>
                <w:sz w:val="14"/>
                <w:szCs w:val="14"/>
                <w:lang w:val="uk-UA"/>
              </w:rPr>
            </w:r>
          </w:p>
        </w:tc>
        <w:tc>
          <w:tcPr>
            <w:tcW w:w="545"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18" w:hanging="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11" w:hanging="0"/>
              <w:jc w:val="center"/>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left="-136" w:right="-118" w:hanging="0"/>
              <w:jc w:val="center"/>
              <w:rPr>
                <w:rFonts w:ascii="Times New Roman" w:hAnsi="Times New Roman"/>
                <w:sz w:val="14"/>
                <w:szCs w:val="14"/>
                <w:lang w:val="uk-UA"/>
              </w:rPr>
            </w:pPr>
            <w:r>
              <w:rPr>
                <w:rFonts w:ascii="Times New Roman" w:hAnsi="Times New Roman"/>
                <w:sz w:val="14"/>
                <w:szCs w:val="14"/>
                <w:lang w:val="uk-UA"/>
              </w:rPr>
              <w:t>виконано</w:t>
            </w:r>
          </w:p>
          <w:p>
            <w:pPr>
              <w:pStyle w:val="Normal"/>
              <w:widowControl w:val="false"/>
              <w:spacing w:lineRule="auto" w:line="240" w:before="0" w:after="0"/>
              <w:ind w:left="-111" w:right="-104" w:hanging="0"/>
              <w:jc w:val="center"/>
              <w:rPr>
                <w:rFonts w:ascii="Times New Roman" w:hAnsi="Times New Roman"/>
                <w:sz w:val="14"/>
                <w:szCs w:val="14"/>
                <w:lang w:val="uk-UA"/>
              </w:rPr>
            </w:pPr>
            <w:r>
              <w:rPr>
                <w:rFonts w:ascii="Times New Roman" w:hAnsi="Times New Roman"/>
                <w:sz w:val="14"/>
                <w:szCs w:val="14"/>
                <w:lang w:val="uk-UA"/>
              </w:rPr>
            </w:r>
          </w:p>
        </w:tc>
        <w:tc>
          <w:tcPr>
            <w:tcW w:w="2553" w:type="dxa"/>
            <w:tcBorders>
              <w:top w:val="outset" w:sz="8" w:space="0" w:color="000000"/>
              <w:left w:val="outset" w:sz="8" w:space="0" w:color="000000"/>
              <w:bottom w:val="outset" w:sz="8" w:space="0" w:color="000000"/>
              <w:right w:val="outset" w:sz="8" w:space="0" w:color="000000"/>
            </w:tcBorders>
          </w:tcPr>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Процедуру розроблено (наказ ДМП НПУ від 16.03.2023 №13 «Про додаткові заходи щодо зміцнення службової дисципліни в ДМП НПУ»)</w:t>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З метою посилення роботи спрямованої на дотримання дисципліни і законності серед особового складу підрозділів ДМП розроблено доручення ДМП НПУ від 17.03.2023 №759</w:t>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Розроблено та направлено до УМП (ВМП) ГУ в областях та м. Києві  для ознайомлення та використання у службовій діяльності доручення ДМП НПУ від 16.03.2023 №744/16/1-2023</w:t>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Керівництвом ДМП постійно згідно графіку вивчається стан сімейно-побутових питань підлеглих працівників ДМП, в разі отримання компрометуючої інформації, вживаються заходи з її перевірки та реалізації в рамках чинного законодавства. З метою встановлення можливих незаконних додаткових доходів з боку працівників ДМП, працівниками ДВБ на постійній основі проводиться моніторинг способу життя працівників щодо ймовірної недоброчесної поведінки працівників поліції, яка полягає у можливому виникненні зв’язків з особами, які утримують місця розпусти і звідництво та/або являються сутенерами. Протиправна діяльність перевіряється в рамках кримінальних проваджень та справах оперативного обліку.</w:t>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ind w:right="-147" w:hanging="0"/>
              <w:jc w:val="both"/>
              <w:rPr>
                <w:rFonts w:ascii="Times New Roman" w:hAnsi="Times New Roman"/>
                <w:sz w:val="14"/>
                <w:szCs w:val="14"/>
                <w:lang w:val="uk-UA"/>
              </w:rPr>
            </w:pPr>
            <w:r>
              <w:rPr>
                <w:rFonts w:ascii="Times New Roman" w:hAnsi="Times New Roman"/>
                <w:sz w:val="14"/>
                <w:szCs w:val="14"/>
                <w:lang w:val="uk-UA"/>
              </w:rPr>
            </w:r>
          </w:p>
          <w:p>
            <w:pPr>
              <w:pStyle w:val="BlockText"/>
              <w:widowControl w:val="false"/>
              <w:numPr>
                <w:ilvl w:val="0"/>
                <w:numId w:val="0"/>
              </w:numPr>
              <w:tabs>
                <w:tab w:val="clear" w:pos="708"/>
                <w:tab w:val="left" w:pos="-2240" w:leader="none"/>
              </w:tabs>
              <w:spacing w:lineRule="auto" w:line="240"/>
              <w:ind w:left="0" w:right="-1" w:hanging="0"/>
              <w:outlineLvl w:val="0"/>
              <w:rPr>
                <w:b w:val="false"/>
                <w:b w:val="false"/>
                <w:color w:val="auto"/>
                <w:sz w:val="14"/>
                <w:szCs w:val="14"/>
              </w:rPr>
            </w:pPr>
            <w:r>
              <w:rPr>
                <w:b w:val="false"/>
                <w:color w:val="auto"/>
                <w:sz w:val="14"/>
                <w:szCs w:val="14"/>
              </w:rPr>
              <w:t xml:space="preserve">ДМП проводиться  інформаційне висвітлення заходів, вжитих підрозділами поліції у сфері протидії злочинності та запобігання корупції, зокрема на сторінці ДМП  у соціальній мережі «Фейсбук». Крім того, на вказаній сторінці розміщені контактні телефони ДМП для консультацій, а також e-mail:  </w:t>
            </w:r>
            <w:hyperlink r:id="rId18">
              <w:r>
                <w:rPr>
                  <w:rStyle w:val="Hyperlink"/>
                  <w:b w:val="false"/>
                  <w:color w:val="auto"/>
                  <w:sz w:val="14"/>
                  <w:szCs w:val="14"/>
                  <w:lang w:val="en-US"/>
                </w:rPr>
                <w:t>dmp</w:t>
              </w:r>
              <w:r>
                <w:rPr>
                  <w:rStyle w:val="Hyperlink"/>
                  <w:b w:val="false"/>
                  <w:color w:val="auto"/>
                  <w:sz w:val="14"/>
                  <w:szCs w:val="14"/>
                </w:rPr>
                <w:t>@police.gov.ua</w:t>
              </w:r>
            </w:hyperlink>
            <w:r>
              <w:rPr>
                <w:b w:val="false"/>
                <w:color w:val="auto"/>
                <w:sz w:val="14"/>
                <w:szCs w:val="14"/>
              </w:rPr>
              <w:t xml:space="preserve"> на який можуть надходити звернення громадян, у тому числі щодо фактів</w:t>
            </w:r>
            <w:r>
              <w:rPr>
                <w:b w:val="false"/>
                <w:color w:val="auto"/>
                <w:sz w:val="22"/>
                <w:szCs w:val="22"/>
              </w:rPr>
              <w:t xml:space="preserve"> </w:t>
            </w:r>
            <w:r>
              <w:rPr>
                <w:b w:val="false"/>
                <w:color w:val="auto"/>
                <w:sz w:val="14"/>
                <w:szCs w:val="14"/>
              </w:rPr>
              <w:t>протиправної діяльності поліцейських.</w:t>
            </w:r>
          </w:p>
          <w:p>
            <w:pPr>
              <w:pStyle w:val="Normal"/>
              <w:widowControl w:val="false"/>
              <w:spacing w:lineRule="auto" w:line="240" w:before="0" w:after="0"/>
              <w:jc w:val="both"/>
              <w:rPr>
                <w:rFonts w:ascii="Times New Roman" w:hAnsi="Times New Roman"/>
                <w:spacing w:val="-8"/>
                <w:sz w:val="14"/>
                <w:szCs w:val="14"/>
                <w:shd w:fill="FFFFFF" w:val="clear"/>
                <w:lang w:val="uk-UA" w:eastAsia="ru-RU"/>
              </w:rPr>
            </w:pPr>
            <w:r>
              <w:rPr>
                <w:rFonts w:ascii="Times New Roman" w:hAnsi="Times New Roman"/>
                <w:sz w:val="14"/>
                <w:szCs w:val="14"/>
                <w:lang w:val="uk-UA"/>
              </w:rPr>
              <w:t>На відомчому «You Tube» каналі постійно висвітлюються зазначені теми (на сьогодні зареєстровано 111 тис. підписників)</w:t>
            </w:r>
            <w:r>
              <w:rPr>
                <w:rFonts w:ascii="Times New Roman" w:hAnsi="Times New Roman"/>
                <w:spacing w:val="-8"/>
                <w:sz w:val="14"/>
                <w:szCs w:val="14"/>
                <w:shd w:fill="FFFFFF" w:val="clear"/>
                <w:lang w:val="uk-UA" w:eastAsia="ru-RU"/>
              </w:rPr>
              <w:t xml:space="preserve"> </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На офіційному вебпорталі НПУ у рубриці «Контакти» у підрубриці «Контакти</w:t>
            </w:r>
            <w:r>
              <w:rPr>
                <w:spacing w:val="-8"/>
                <w:shd w:fill="FFFFFF" w:val="clear"/>
                <w:lang w:val="uk-UA" w:eastAsia="ru-RU"/>
              </w:rPr>
              <w:t xml:space="preserve"> </w:t>
            </w:r>
            <w:r>
              <w:rPr>
                <w:rFonts w:ascii="Times New Roman" w:hAnsi="Times New Roman"/>
                <w:spacing w:val="-8"/>
                <w:sz w:val="14"/>
                <w:szCs w:val="14"/>
                <w:shd w:fill="FFFFFF" w:val="clear"/>
                <w:lang w:val="uk-UA" w:eastAsia="ru-RU"/>
              </w:rPr>
              <w:t>міжрегіональних підрозділів поліції» розміщений телефон «гарячої» лінії за номером +38(050)3527277 (цілодобово), для надання інформації щодо правоохоронців, які</w:t>
            </w:r>
            <w:r>
              <w:rPr>
                <w:spacing w:val="-8"/>
                <w:shd w:fill="FFFFFF" w:val="clear"/>
                <w:lang w:val="uk-UA" w:eastAsia="ru-RU"/>
              </w:rPr>
              <w:t xml:space="preserve"> </w:t>
            </w:r>
            <w:r>
              <w:rPr>
                <w:rFonts w:ascii="Times New Roman" w:hAnsi="Times New Roman"/>
                <w:spacing w:val="-8"/>
                <w:sz w:val="14"/>
                <w:szCs w:val="14"/>
                <w:shd w:fill="FFFFFF" w:val="clear"/>
                <w:lang w:val="uk-UA" w:eastAsia="ru-RU"/>
              </w:rPr>
              <w:t>сприяють, співпрацюють з окупантами, поширюють ворожу пропаганду чи зрадили державі, а також надання інформації про відомі факти прикриття (кришування) працівниками поліції осіб, які утримують  місця розпусти і звідництво (сутенерів).</w:t>
            </w:r>
            <w:r>
              <w:rPr>
                <w:rFonts w:ascii="Times New Roman" w:hAnsi="Times New Roman"/>
                <w:sz w:val="14"/>
                <w:szCs w:val="14"/>
                <w:lang w:val="uk-UA"/>
              </w:rPr>
              <w:t xml:space="preserve"> В </w:t>
            </w:r>
            <w:r>
              <w:rPr>
                <w:rFonts w:ascii="Times New Roman" w:hAnsi="Times New Roman"/>
                <w:sz w:val="14"/>
                <w:szCs w:val="14"/>
                <w:lang w:val="uk-UA" w:eastAsia="ru-RU"/>
              </w:rPr>
              <w:t>розділі «Громадянам» у підрубриці «Повідомити про корупцію»</w:t>
            </w:r>
            <w:r>
              <w:rPr>
                <w:lang w:val="uk-UA" w:eastAsia="ru-RU"/>
              </w:rPr>
              <w:t xml:space="preserve"> (</w:t>
            </w:r>
            <w:hyperlink r:id="rId19">
              <w:r>
                <w:rPr>
                  <w:rFonts w:ascii="Times New Roman" w:hAnsi="Times New Roman"/>
                  <w:sz w:val="14"/>
                  <w:szCs w:val="14"/>
                  <w:u w:val="single"/>
                </w:rPr>
                <w:t>https</w:t>
              </w:r>
              <w:r>
                <w:rPr>
                  <w:rFonts w:ascii="Times New Roman" w:hAnsi="Times New Roman"/>
                  <w:sz w:val="14"/>
                  <w:szCs w:val="14"/>
                  <w:u w:val="single"/>
                  <w:lang w:val="uk-UA"/>
                </w:rPr>
                <w:t>://</w:t>
              </w:r>
              <w:r>
                <w:rPr>
                  <w:rFonts w:ascii="Times New Roman" w:hAnsi="Times New Roman"/>
                  <w:sz w:val="14"/>
                  <w:szCs w:val="14"/>
                  <w:u w:val="single"/>
                </w:rPr>
                <w:t>www</w:t>
              </w:r>
              <w:r>
                <w:rPr>
                  <w:rFonts w:ascii="Times New Roman" w:hAnsi="Times New Roman"/>
                  <w:sz w:val="14"/>
                  <w:szCs w:val="14"/>
                  <w:u w:val="single"/>
                  <w:lang w:val="uk-UA"/>
                </w:rPr>
                <w:t>.</w:t>
              </w:r>
              <w:r>
                <w:rPr>
                  <w:rFonts w:ascii="Times New Roman" w:hAnsi="Times New Roman"/>
                  <w:sz w:val="14"/>
                  <w:szCs w:val="14"/>
                  <w:u w:val="single"/>
                </w:rPr>
                <w:t>npu</w:t>
              </w:r>
              <w:r>
                <w:rPr>
                  <w:rFonts w:ascii="Times New Roman" w:hAnsi="Times New Roman"/>
                  <w:sz w:val="14"/>
                  <w:szCs w:val="14"/>
                  <w:u w:val="single"/>
                  <w:lang w:val="uk-UA"/>
                </w:rPr>
                <w:t>.</w:t>
              </w:r>
              <w:r>
                <w:rPr>
                  <w:rFonts w:ascii="Times New Roman" w:hAnsi="Times New Roman"/>
                  <w:sz w:val="14"/>
                  <w:szCs w:val="14"/>
                  <w:u w:val="single"/>
                </w:rPr>
                <w:t>gov</w:t>
              </w:r>
              <w:r>
                <w:rPr>
                  <w:rFonts w:ascii="Times New Roman" w:hAnsi="Times New Roman"/>
                  <w:sz w:val="14"/>
                  <w:szCs w:val="14"/>
                  <w:u w:val="single"/>
                  <w:lang w:val="uk-UA"/>
                </w:rPr>
                <w:t>.</w:t>
              </w:r>
              <w:r>
                <w:rPr>
                  <w:rFonts w:ascii="Times New Roman" w:hAnsi="Times New Roman"/>
                  <w:sz w:val="14"/>
                  <w:szCs w:val="14"/>
                  <w:u w:val="single"/>
                </w:rPr>
                <w:t>ua</w:t>
              </w:r>
              <w:r>
                <w:rPr>
                  <w:rFonts w:ascii="Times New Roman" w:hAnsi="Times New Roman"/>
                  <w:sz w:val="14"/>
                  <w:szCs w:val="14"/>
                  <w:u w:val="single"/>
                  <w:lang w:val="uk-UA"/>
                </w:rPr>
                <w:t>/</w:t>
              </w:r>
              <w:r>
                <w:rPr>
                  <w:rFonts w:ascii="Times New Roman" w:hAnsi="Times New Roman"/>
                  <w:sz w:val="14"/>
                  <w:szCs w:val="14"/>
                  <w:u w:val="single"/>
                </w:rPr>
                <w:t>gromadyanam</w:t>
              </w:r>
              <w:r>
                <w:rPr>
                  <w:rFonts w:ascii="Times New Roman" w:hAnsi="Times New Roman"/>
                  <w:sz w:val="14"/>
                  <w:szCs w:val="14"/>
                  <w:u w:val="single"/>
                  <w:lang w:val="uk-UA"/>
                </w:rPr>
                <w:t>/</w:t>
              </w:r>
              <w:r>
                <w:rPr>
                  <w:rFonts w:ascii="Times New Roman" w:hAnsi="Times New Roman"/>
                  <w:sz w:val="14"/>
                  <w:szCs w:val="14"/>
                  <w:u w:val="single"/>
                </w:rPr>
                <w:t>povidomiti</w:t>
              </w:r>
              <w:r>
                <w:rPr>
                  <w:rFonts w:ascii="Times New Roman" w:hAnsi="Times New Roman"/>
                  <w:sz w:val="14"/>
                  <w:szCs w:val="14"/>
                  <w:u w:val="single"/>
                  <w:lang w:val="uk-UA"/>
                </w:rPr>
                <w:t>-</w:t>
              </w:r>
              <w:r>
                <w:rPr>
                  <w:rFonts w:ascii="Times New Roman" w:hAnsi="Times New Roman"/>
                  <w:sz w:val="14"/>
                  <w:szCs w:val="14"/>
                  <w:u w:val="single"/>
                </w:rPr>
                <w:t>pro</w:t>
              </w:r>
              <w:r>
                <w:rPr>
                  <w:rFonts w:ascii="Times New Roman" w:hAnsi="Times New Roman"/>
                  <w:sz w:val="14"/>
                  <w:szCs w:val="14"/>
                  <w:u w:val="single"/>
                  <w:lang w:val="uk-UA"/>
                </w:rPr>
                <w:t>-</w:t>
              </w:r>
              <w:r>
                <w:rPr>
                  <w:rFonts w:ascii="Times New Roman" w:hAnsi="Times New Roman"/>
                  <w:sz w:val="14"/>
                  <w:szCs w:val="14"/>
                  <w:u w:val="single"/>
                </w:rPr>
                <w:t>korupciyu</w:t>
              </w:r>
              <w:r>
                <w:rPr>
                  <w:rFonts w:ascii="Times New Roman" w:hAnsi="Times New Roman"/>
                  <w:sz w:val="14"/>
                  <w:szCs w:val="14"/>
                  <w:u w:val="single"/>
                  <w:lang w:val="uk-UA"/>
                </w:rPr>
                <w:t>-</w:t>
              </w:r>
              <w:r>
                <w:rPr>
                  <w:rFonts w:ascii="Times New Roman" w:hAnsi="Times New Roman"/>
                  <w:sz w:val="14"/>
                  <w:szCs w:val="14"/>
                  <w:u w:val="single"/>
                </w:rPr>
                <w:t>v</w:t>
              </w:r>
              <w:r>
                <w:rPr>
                  <w:rFonts w:ascii="Times New Roman" w:hAnsi="Times New Roman"/>
                  <w:sz w:val="14"/>
                  <w:szCs w:val="14"/>
                  <w:u w:val="single"/>
                  <w:lang w:val="uk-UA"/>
                </w:rPr>
                <w:t>-</w:t>
              </w:r>
              <w:r>
                <w:rPr>
                  <w:rFonts w:ascii="Times New Roman" w:hAnsi="Times New Roman"/>
                  <w:sz w:val="14"/>
                  <w:szCs w:val="14"/>
                  <w:u w:val="single"/>
                </w:rPr>
                <w:t>policiyi</w:t>
              </w:r>
            </w:hyperlink>
            <w:r>
              <w:rPr>
                <w:rFonts w:ascii="Times New Roman" w:hAnsi="Times New Roman"/>
                <w:sz w:val="14"/>
                <w:szCs w:val="14"/>
                <w:lang w:val="uk-UA"/>
              </w:rPr>
              <w:t xml:space="preserve">) </w:t>
            </w:r>
          </w:p>
          <w:p>
            <w:pPr>
              <w:pStyle w:val="Normal"/>
              <w:widowControl w:val="false"/>
              <w:spacing w:lineRule="auto" w:line="240" w:before="0" w:after="0"/>
              <w:jc w:val="both"/>
              <w:rPr>
                <w:rFonts w:ascii="Times New Roman" w:hAnsi="Times New Roman"/>
                <w:sz w:val="14"/>
                <w:szCs w:val="14"/>
                <w:lang w:val="uk-UA" w:eastAsia="ru-RU"/>
              </w:rPr>
            </w:pPr>
            <w:r>
              <w:rPr>
                <w:rFonts w:ascii="Times New Roman" w:hAnsi="Times New Roman"/>
                <w:sz w:val="14"/>
                <w:szCs w:val="14"/>
                <w:lang w:val="uk-UA" w:eastAsia="ru-RU"/>
              </w:rPr>
              <w:t xml:space="preserve">розміщений пост "Якщо ви хочете повідомити про правопорушення, пов’язане з корупцією, дзвоніть на безкоштовну гарячу лінію» </w:t>
            </w:r>
            <w:hyperlink r:id="rId20">
              <w:r>
                <w:rPr>
                  <w:rFonts w:ascii="Times New Roman" w:hAnsi="Times New Roman"/>
                  <w:sz w:val="14"/>
                  <w:szCs w:val="14"/>
                  <w:lang w:val="uk-UA" w:eastAsia="ru-RU"/>
                </w:rPr>
                <w:t>0-800-50-02-02</w:t>
              </w:r>
            </w:hyperlink>
            <w:r>
              <w:rPr>
                <w:rFonts w:ascii="Times New Roman" w:hAnsi="Times New Roman"/>
                <w:sz w:val="14"/>
                <w:szCs w:val="14"/>
                <w:lang w:val="uk-UA" w:eastAsia="ru-RU"/>
              </w:rPr>
              <w:t>, а також на телефони довіри та адреси електронної пошти довіри в областях України.</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 xml:space="preserve">Також на офіційному вебпорталі НПУ у підрубриці «Корисна інформація та поради» у рубриці «Часті запити» в розділі «Громадянам» </w:t>
            </w:r>
            <w:r>
              <w:rPr>
                <w:rFonts w:ascii="Times New Roman" w:hAnsi="Times New Roman"/>
                <w:sz w:val="14"/>
                <w:szCs w:val="14"/>
                <w:lang w:val="uk-UA" w:eastAsia="ru-RU"/>
              </w:rPr>
              <w:t>(</w:t>
            </w:r>
            <w:hyperlink r:id="rId21">
              <w:r>
                <w:rPr>
                  <w:rFonts w:ascii="Times New Roman" w:hAnsi="Times New Roman"/>
                  <w:sz w:val="14"/>
                  <w:szCs w:val="14"/>
                  <w:u w:val="single"/>
                  <w:lang w:eastAsia="ru-RU"/>
                </w:rPr>
                <w:t>https</w:t>
              </w:r>
              <w:r>
                <w:rPr>
                  <w:rFonts w:ascii="Times New Roman" w:hAnsi="Times New Roman"/>
                  <w:sz w:val="14"/>
                  <w:szCs w:val="14"/>
                  <w:u w:val="single"/>
                  <w:lang w:val="uk-UA" w:eastAsia="ru-RU"/>
                </w:rPr>
                <w:t>://</w:t>
              </w:r>
              <w:r>
                <w:rPr>
                  <w:rFonts w:ascii="Times New Roman" w:hAnsi="Times New Roman"/>
                  <w:sz w:val="14"/>
                  <w:szCs w:val="14"/>
                  <w:u w:val="single"/>
                  <w:lang w:eastAsia="ru-RU"/>
                </w:rPr>
                <w:t>www</w:t>
              </w:r>
              <w:r>
                <w:rPr>
                  <w:rFonts w:ascii="Times New Roman" w:hAnsi="Times New Roman"/>
                  <w:sz w:val="14"/>
                  <w:szCs w:val="14"/>
                  <w:u w:val="single"/>
                  <w:lang w:val="uk-UA" w:eastAsia="ru-RU"/>
                </w:rPr>
                <w:t>.</w:t>
              </w:r>
              <w:r>
                <w:rPr>
                  <w:rFonts w:ascii="Times New Roman" w:hAnsi="Times New Roman"/>
                  <w:sz w:val="14"/>
                  <w:szCs w:val="14"/>
                  <w:u w:val="single"/>
                  <w:lang w:eastAsia="ru-RU"/>
                </w:rPr>
                <w:t>npu</w:t>
              </w:r>
              <w:r>
                <w:rPr>
                  <w:rFonts w:ascii="Times New Roman" w:hAnsi="Times New Roman"/>
                  <w:sz w:val="14"/>
                  <w:szCs w:val="14"/>
                  <w:u w:val="single"/>
                  <w:lang w:val="uk-UA" w:eastAsia="ru-RU"/>
                </w:rPr>
                <w:t>.</w:t>
              </w:r>
              <w:r>
                <w:rPr>
                  <w:rFonts w:ascii="Times New Roman" w:hAnsi="Times New Roman"/>
                  <w:sz w:val="14"/>
                  <w:szCs w:val="14"/>
                  <w:u w:val="single"/>
                  <w:lang w:eastAsia="ru-RU"/>
                </w:rPr>
                <w:t>gov</w:t>
              </w:r>
              <w:r>
                <w:rPr>
                  <w:rFonts w:ascii="Times New Roman" w:hAnsi="Times New Roman"/>
                  <w:sz w:val="14"/>
                  <w:szCs w:val="14"/>
                  <w:u w:val="single"/>
                  <w:lang w:val="uk-UA" w:eastAsia="ru-RU"/>
                </w:rPr>
                <w:t>.</w:t>
              </w:r>
              <w:r>
                <w:rPr>
                  <w:rFonts w:ascii="Times New Roman" w:hAnsi="Times New Roman"/>
                  <w:sz w:val="14"/>
                  <w:szCs w:val="14"/>
                  <w:u w:val="single"/>
                  <w:lang w:eastAsia="ru-RU"/>
                </w:rPr>
                <w:t>ua</w:t>
              </w:r>
              <w:r>
                <w:rPr>
                  <w:rFonts w:ascii="Times New Roman" w:hAnsi="Times New Roman"/>
                  <w:sz w:val="14"/>
                  <w:szCs w:val="14"/>
                  <w:u w:val="single"/>
                  <w:lang w:val="uk-UA" w:eastAsia="ru-RU"/>
                </w:rPr>
                <w:t>/</w:t>
              </w:r>
              <w:r>
                <w:rPr>
                  <w:rFonts w:ascii="Times New Roman" w:hAnsi="Times New Roman"/>
                  <w:sz w:val="14"/>
                  <w:szCs w:val="14"/>
                  <w:u w:val="single"/>
                  <w:lang w:eastAsia="ru-RU"/>
                </w:rPr>
                <w:t>gromadyanam</w:t>
              </w:r>
              <w:r>
                <w:rPr>
                  <w:rFonts w:ascii="Times New Roman" w:hAnsi="Times New Roman"/>
                  <w:sz w:val="14"/>
                  <w:szCs w:val="14"/>
                  <w:u w:val="single"/>
                  <w:lang w:val="uk-UA" w:eastAsia="ru-RU"/>
                </w:rPr>
                <w:t>/</w:t>
              </w:r>
              <w:r>
                <w:rPr>
                  <w:rFonts w:ascii="Times New Roman" w:hAnsi="Times New Roman"/>
                  <w:sz w:val="14"/>
                  <w:szCs w:val="14"/>
                  <w:u w:val="single"/>
                  <w:lang w:eastAsia="ru-RU"/>
                </w:rPr>
                <w:t>chasti</w:t>
              </w:r>
              <w:r>
                <w:rPr>
                  <w:rFonts w:ascii="Times New Roman" w:hAnsi="Times New Roman"/>
                  <w:sz w:val="14"/>
                  <w:szCs w:val="14"/>
                  <w:u w:val="single"/>
                  <w:lang w:val="uk-UA" w:eastAsia="ru-RU"/>
                </w:rPr>
                <w:t>-</w:t>
              </w:r>
              <w:r>
                <w:rPr>
                  <w:rFonts w:ascii="Times New Roman" w:hAnsi="Times New Roman"/>
                  <w:sz w:val="14"/>
                  <w:szCs w:val="14"/>
                  <w:u w:val="single"/>
                  <w:lang w:eastAsia="ru-RU"/>
                </w:rPr>
                <w:t>zapiti</w:t>
              </w:r>
              <w:r>
                <w:rPr>
                  <w:rFonts w:ascii="Times New Roman" w:hAnsi="Times New Roman"/>
                  <w:sz w:val="14"/>
                  <w:szCs w:val="14"/>
                  <w:u w:val="single"/>
                  <w:lang w:val="uk-UA" w:eastAsia="ru-RU"/>
                </w:rPr>
                <w:t>/</w:t>
              </w:r>
              <w:r>
                <w:rPr>
                  <w:rFonts w:ascii="Times New Roman" w:hAnsi="Times New Roman"/>
                  <w:sz w:val="14"/>
                  <w:szCs w:val="14"/>
                  <w:u w:val="single"/>
                  <w:lang w:eastAsia="ru-RU"/>
                </w:rPr>
                <w:t>korisna</w:t>
              </w:r>
              <w:r>
                <w:rPr>
                  <w:rFonts w:ascii="Times New Roman" w:hAnsi="Times New Roman"/>
                  <w:sz w:val="14"/>
                  <w:szCs w:val="14"/>
                  <w:u w:val="single"/>
                  <w:lang w:val="uk-UA" w:eastAsia="ru-RU"/>
                </w:rPr>
                <w:t>-</w:t>
              </w:r>
              <w:r>
                <w:rPr>
                  <w:rFonts w:ascii="Times New Roman" w:hAnsi="Times New Roman"/>
                  <w:sz w:val="14"/>
                  <w:szCs w:val="14"/>
                  <w:u w:val="single"/>
                  <w:lang w:eastAsia="ru-RU"/>
                </w:rPr>
                <w:t>informaciya</w:t>
              </w:r>
              <w:r>
                <w:rPr>
                  <w:rFonts w:ascii="Times New Roman" w:hAnsi="Times New Roman"/>
                  <w:sz w:val="14"/>
                  <w:szCs w:val="14"/>
                  <w:u w:val="single"/>
                  <w:lang w:val="uk-UA" w:eastAsia="ru-RU"/>
                </w:rPr>
                <w:t>-</w:t>
              </w:r>
              <w:r>
                <w:rPr>
                  <w:rFonts w:ascii="Times New Roman" w:hAnsi="Times New Roman"/>
                  <w:sz w:val="14"/>
                  <w:szCs w:val="14"/>
                  <w:u w:val="single"/>
                  <w:lang w:eastAsia="ru-RU"/>
                </w:rPr>
                <w:t>ta</w:t>
              </w:r>
              <w:r>
                <w:rPr>
                  <w:rFonts w:ascii="Times New Roman" w:hAnsi="Times New Roman"/>
                  <w:sz w:val="14"/>
                  <w:szCs w:val="14"/>
                  <w:u w:val="single"/>
                  <w:lang w:val="uk-UA" w:eastAsia="ru-RU"/>
                </w:rPr>
                <w:t>-</w:t>
              </w:r>
              <w:r>
                <w:rPr>
                  <w:rFonts w:ascii="Times New Roman" w:hAnsi="Times New Roman"/>
                  <w:sz w:val="14"/>
                  <w:szCs w:val="14"/>
                  <w:u w:val="single"/>
                  <w:lang w:eastAsia="ru-RU"/>
                </w:rPr>
                <w:t>poradi</w:t>
              </w:r>
            </w:hyperlink>
            <w:r>
              <w:rPr>
                <w:rFonts w:ascii="Times New Roman" w:hAnsi="Times New Roman"/>
                <w:sz w:val="14"/>
                <w:szCs w:val="14"/>
                <w:lang w:val="uk-UA"/>
              </w:rPr>
              <w:t xml:space="preserve">) розміщений пост «Ви стали свідком або жертвою кримінального правопорушення?», в якому міститься інформаційний плакат «Алгоритм дій особи, яка стала свідком чи жертвою катування, вчиненого поліцейськими», </w:t>
            </w:r>
            <w:r>
              <w:rPr>
                <w:rFonts w:ascii="Times New Roman" w:hAnsi="Times New Roman"/>
                <w:sz w:val="14"/>
                <w:szCs w:val="14"/>
                <w:lang w:val="uk-UA" w:eastAsia="ru-RU"/>
              </w:rPr>
              <w:t>а також розміщена «</w:t>
            </w:r>
            <w:r>
              <w:rPr>
                <w:rFonts w:ascii="Times New Roman" w:hAnsi="Times New Roman"/>
                <w:bCs/>
                <w:sz w:val="14"/>
                <w:szCs w:val="14"/>
                <w:lang w:val="uk-UA" w:eastAsia="ru-RU"/>
              </w:rPr>
              <w:t>Пам'ятка заявнику при зверненні до поліції із заявою або повідомленнями про вчинення кримінального правопорушення чи іншої події».</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У 2023 року на офіційному веб-сайті НПУ розміщено близько 70 публікацій щодо стану розкриття злочинів у сфері торгівлі людьми, суспільної моралі та нелегальної міграції.</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09.01.2023 - на виконання листа від 23.12.2022 № 5811/12/7/01-2022 розроблені тематичні плани для організації занять у системі службової підготовки  особового складу УЗК</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z w:val="14"/>
                <w:szCs w:val="14"/>
                <w:lang w:val="uk-UA"/>
              </w:rPr>
              <w:t>Протягом 4 кварталу 2023 року проведено близько 53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з попередженням про відповідальність, яка настає за порушення антикорупційного законодавства, враховуючи наявні судові рішення у т.ч., Європейського суду з прав людини..</w:t>
            </w:r>
          </w:p>
          <w:p>
            <w:pPr>
              <w:pStyle w:val="Normal"/>
              <w:widowControl w:val="false"/>
              <w:tabs>
                <w:tab w:val="clear" w:pos="708"/>
                <w:tab w:val="left" w:pos="1593" w:leader="none"/>
              </w:tabs>
              <w:spacing w:lineRule="auto" w:line="240" w:before="0" w:after="0"/>
              <w:ind w:right="7" w:hanging="0"/>
              <w:jc w:val="both"/>
              <w:rPr>
                <w:rFonts w:ascii="Times New Roman" w:hAnsi="Times New Roman"/>
                <w:spacing w:val="-8"/>
                <w:sz w:val="14"/>
                <w:szCs w:val="14"/>
                <w:shd w:fill="FFFFFF" w:val="clear"/>
                <w:lang w:val="uk-UA" w:eastAsia="ru-RU"/>
              </w:rPr>
            </w:pPr>
            <w:r>
              <w:rPr>
                <w:rFonts w:ascii="Times New Roman" w:hAnsi="Times New Roman"/>
                <w:spacing w:val="-8"/>
                <w:sz w:val="14"/>
                <w:szCs w:val="14"/>
                <w:shd w:fill="FFFFFF" w:val="clear"/>
                <w:lang w:val="uk-UA" w:eastAsia="ru-RU"/>
              </w:rPr>
              <w:t>Протягом 1 кварталу 2024 року проведено близько 110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p>
            <w:pPr>
              <w:pStyle w:val="Normal"/>
              <w:widowControl w:val="false"/>
              <w:tabs>
                <w:tab w:val="clear" w:pos="708"/>
                <w:tab w:val="left" w:pos="0" w:leader="none"/>
              </w:tabs>
              <w:spacing w:lineRule="auto" w:line="240" w:before="0" w:after="0"/>
              <w:jc w:val="both"/>
              <w:rPr>
                <w:rFonts w:ascii="Times New Roman" w:hAnsi="Times New Roman"/>
                <w:bCs/>
                <w:iCs/>
                <w:sz w:val="14"/>
                <w:szCs w:val="14"/>
                <w:lang w:val="uk-UA"/>
              </w:rPr>
            </w:pPr>
            <w:r>
              <w:rPr>
                <w:rFonts w:ascii="Times New Roman" w:hAnsi="Times New Roman"/>
                <w:bCs/>
                <w:iCs/>
                <w:sz w:val="14"/>
                <w:szCs w:val="14"/>
                <w:lang w:val="uk-UA"/>
              </w:rPr>
              <w:t>З метою надання методичної                                             та консультаційної допомоги з питань фінансової доброчесності під час декларування та подання повідомлень про суттєві зміни, УЗК,  щоп’ятниці, організовано проведення онлайн-навчань (тренінгів) для працівників структурних підрозділів центрального органу управління НПУ починаючи з 23 лютого 2024 року (доповідна записка Голові НПУ № 15256 від 19 лютого 2024 року).</w:t>
            </w:r>
          </w:p>
          <w:p>
            <w:pPr>
              <w:pStyle w:val="Normal"/>
              <w:widowControl w:val="false"/>
              <w:spacing w:lineRule="auto" w:line="240" w:before="0" w:after="0"/>
              <w:jc w:val="both"/>
              <w:rPr>
                <w:rFonts w:ascii="Times New Roman" w:hAnsi="Times New Roman"/>
                <w:sz w:val="14"/>
                <w:szCs w:val="14"/>
                <w:lang w:val="uk-UA"/>
              </w:rPr>
            </w:pPr>
            <w:r>
              <w:rPr>
                <w:rFonts w:ascii="Times New Roman" w:hAnsi="Times New Roman"/>
                <w:spacing w:val="-8"/>
                <w:sz w:val="14"/>
                <w:szCs w:val="14"/>
                <w:shd w:fill="FFFFFF" w:val="clear"/>
                <w:lang w:val="uk-UA" w:eastAsia="ru-RU"/>
              </w:rPr>
              <w:t>Протягом 2 кварталу 2024 року проведено близько 95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w:t>
            </w:r>
          </w:p>
        </w:tc>
      </w:tr>
    </w:tbl>
    <w:p>
      <w:pPr>
        <w:pStyle w:val="Normal"/>
        <w:spacing w:lineRule="auto" w:line="240" w:before="0" w:after="0"/>
        <w:jc w:val="both"/>
        <w:rPr>
          <w:rFonts w:ascii="Times New Roman" w:hAnsi="Times New Roman"/>
          <w:sz w:val="14"/>
          <w:szCs w:val="14"/>
          <w:u w:val="single"/>
          <w:lang w:val="uk-UA"/>
        </w:rPr>
      </w:pPr>
      <w:r>
        <w:rPr>
          <w:rFonts w:ascii="Times New Roman" w:hAnsi="Times New Roman"/>
          <w:sz w:val="14"/>
          <w:szCs w:val="14"/>
          <w:u w:val="single"/>
          <w:lang w:val="uk-UA"/>
        </w:rPr>
      </w:r>
    </w:p>
    <w:p>
      <w:pPr>
        <w:pStyle w:val="Normal"/>
        <w:spacing w:lineRule="auto" w:line="240" w:before="0" w:after="0"/>
        <w:jc w:val="both"/>
        <w:rPr>
          <w:rFonts w:ascii="Times New Roman" w:hAnsi="Times New Roman"/>
          <w:b/>
          <w:b/>
          <w:sz w:val="16"/>
          <w:szCs w:val="16"/>
          <w:u w:val="single"/>
          <w:lang w:val="uk-UA"/>
        </w:rPr>
      </w:pPr>
      <w:r>
        <w:rPr>
          <w:rFonts w:ascii="Times New Roman" w:hAnsi="Times New Roman"/>
          <w:b/>
          <w:sz w:val="16"/>
          <w:szCs w:val="16"/>
          <w:u w:val="single"/>
          <w:lang w:val="uk-UA"/>
        </w:rPr>
        <w:t>Скорочення, що вживаються:</w:t>
      </w:r>
    </w:p>
    <w:p>
      <w:pPr>
        <w:pStyle w:val="Normal"/>
        <w:spacing w:lineRule="auto" w:line="240" w:before="0" w:after="0"/>
        <w:jc w:val="both"/>
        <w:rPr>
          <w:rFonts w:ascii="Times New Roman" w:hAnsi="Times New Roman"/>
          <w:sz w:val="16"/>
          <w:szCs w:val="16"/>
          <w:u w:val="single"/>
          <w:lang w:val="uk-UA"/>
        </w:rPr>
      </w:pPr>
      <w:r>
        <w:rPr>
          <w:rFonts w:ascii="Times New Roman" w:hAnsi="Times New Roman"/>
          <w:sz w:val="16"/>
          <w:szCs w:val="16"/>
          <w:u w:val="single"/>
          <w:lang w:val="uk-UA"/>
        </w:rPr>
      </w:r>
    </w:p>
    <w:p>
      <w:pPr>
        <w:pStyle w:val="Normal"/>
        <w:tabs>
          <w:tab w:val="clear" w:pos="708"/>
          <w:tab w:val="left" w:pos="142" w:leader="none"/>
        </w:tabs>
        <w:spacing w:lineRule="auto" w:line="240" w:before="0" w:after="0"/>
        <w:jc w:val="both"/>
        <w:rPr>
          <w:rFonts w:ascii="Times New Roman" w:hAnsi="Times New Roman"/>
          <w:sz w:val="16"/>
          <w:szCs w:val="16"/>
          <w:lang w:val="uk-UA"/>
        </w:rPr>
      </w:pPr>
      <w:r>
        <w:rPr>
          <w:rFonts w:ascii="Times New Roman" w:hAnsi="Times New Roman"/>
          <w:sz w:val="16"/>
          <w:szCs w:val="16"/>
          <w:lang w:val="uk-UA"/>
        </w:rPr>
        <w:t>КМУ– Кабінет Міністрів України;</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МВС – Міністерство внутрішніх справ України;</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НАЗК – Національне агентство з питань запобігання корупції;</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НПУ – Національна поліція України;</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УЗК – Управління  запобігання корупції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ДВБ – Департамент внутрішньої безпеки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ГСУ – Головне слідче управління;</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ДКЗ – Департамент кадрового забезпечення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ДПД – Департамент превентивної діяльності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ДПП – Департамент патрульної поліції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ДКР – Департамент карного розшуку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ДКП – Департамент кіберполіції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ДГІДПЛ – Департамент головної інспекції та дотримання прав людини;</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ДФЗБ – Департамент фінансового забезпечення та бухгалтерського обліку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ДІАП – Департамент інформаційно-аналітичної підтримки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ДДЗ – Департамент документального забезпечення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ДМП – Департамент міграційної поліції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ДСР – Департамент стратегічних розслідувань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УД – Управління дізнання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УВА – Управління внутрішнього аудиту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ПД – Правовий департамент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ДБН – Департамент боротьби з наркозлочинністю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ДУМ – Департамент управління майном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ДПО – Департамент поліції охорони НПУ;</w:t>
      </w:r>
    </w:p>
    <w:p>
      <w:pPr>
        <w:pStyle w:val="Normal"/>
        <w:spacing w:lineRule="auto" w:line="240" w:before="0" w:after="0"/>
        <w:jc w:val="both"/>
        <w:rPr>
          <w:rFonts w:ascii="Times New Roman" w:hAnsi="Times New Roman"/>
          <w:spacing w:val="-8"/>
          <w:sz w:val="16"/>
          <w:szCs w:val="16"/>
          <w:shd w:fill="FFFFFF" w:val="clear"/>
          <w:lang w:val="uk-UA" w:eastAsia="ru-RU"/>
        </w:rPr>
      </w:pPr>
      <w:r>
        <w:rPr>
          <w:rFonts w:ascii="Times New Roman" w:hAnsi="Times New Roman"/>
          <w:sz w:val="16"/>
          <w:szCs w:val="16"/>
          <w:lang w:val="uk-UA"/>
        </w:rPr>
        <w:t>ЦОП – Центр обслуговування підрозділів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УК – Управління комунікації НПУ;</w:t>
      </w:r>
    </w:p>
    <w:p>
      <w:pPr>
        <w:pStyle w:val="Normal"/>
        <w:spacing w:lineRule="auto" w:line="240" w:before="0" w:after="0"/>
        <w:jc w:val="both"/>
        <w:rPr>
          <w:rFonts w:ascii="Times New Roman" w:hAnsi="Times New Roman"/>
          <w:spacing w:val="-8"/>
          <w:sz w:val="16"/>
          <w:szCs w:val="16"/>
          <w:shd w:fill="FFFFFF" w:val="clear"/>
          <w:lang w:val="uk-UA" w:eastAsia="ru-RU"/>
        </w:rPr>
      </w:pPr>
      <w:r>
        <w:rPr>
          <w:rFonts w:ascii="Times New Roman" w:hAnsi="Times New Roman"/>
          <w:spacing w:val="-8"/>
          <w:sz w:val="16"/>
          <w:szCs w:val="16"/>
          <w:shd w:fill="FFFFFF" w:val="clear"/>
          <w:lang w:val="uk-UA" w:eastAsia="ru-RU"/>
        </w:rPr>
        <w:t>УЮП</w:t>
      </w:r>
      <w:r>
        <w:rPr>
          <w:rFonts w:ascii="Times New Roman" w:hAnsi="Times New Roman"/>
          <w:sz w:val="16"/>
          <w:szCs w:val="16"/>
          <w:lang w:val="uk-UA"/>
        </w:rPr>
        <w:t xml:space="preserve"> – </w:t>
      </w:r>
      <w:r>
        <w:rPr>
          <w:rFonts w:ascii="Times New Roman" w:hAnsi="Times New Roman"/>
          <w:spacing w:val="-8"/>
          <w:sz w:val="16"/>
          <w:szCs w:val="16"/>
          <w:shd w:fill="FFFFFF" w:val="clear"/>
          <w:lang w:val="uk-UA" w:eastAsia="ru-RU"/>
        </w:rPr>
        <w:t>Управління ювенальної превенції НПУ;</w:t>
      </w:r>
    </w:p>
    <w:p>
      <w:pPr>
        <w:pStyle w:val="Normal"/>
        <w:spacing w:lineRule="auto" w:line="240" w:before="0" w:after="0"/>
        <w:jc w:val="both"/>
        <w:rPr>
          <w:rFonts w:ascii="Times New Roman" w:hAnsi="Times New Roman"/>
          <w:sz w:val="16"/>
          <w:szCs w:val="16"/>
          <w:lang w:val="uk-UA"/>
        </w:rPr>
      </w:pPr>
      <w:r>
        <w:rPr>
          <w:rFonts w:ascii="Times New Roman" w:hAnsi="Times New Roman"/>
          <w:spacing w:val="-8"/>
          <w:sz w:val="16"/>
          <w:szCs w:val="16"/>
          <w:shd w:fill="FFFFFF" w:val="clear"/>
          <w:lang w:val="uk-UA" w:eastAsia="ru-RU"/>
        </w:rPr>
        <w:t xml:space="preserve">ВКОЗ </w:t>
      </w:r>
      <w:r>
        <w:rPr>
          <w:rFonts w:ascii="Times New Roman" w:hAnsi="Times New Roman"/>
          <w:sz w:val="16"/>
          <w:szCs w:val="16"/>
          <w:lang w:val="uk-UA"/>
        </w:rPr>
        <w:t>– Відділ контролю за обігом зброї НПУ;</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ПММ – паливо мастильні матеріали;</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ЄРДР – Єдиний реєстр досудового розслідування;</w:t>
      </w:r>
    </w:p>
    <w:p>
      <w:pPr>
        <w:pStyle w:val="Normal"/>
        <w:spacing w:lineRule="auto" w:line="240" w:before="0" w:after="0"/>
        <w:jc w:val="both"/>
        <w:rPr>
          <w:rFonts w:ascii="Times New Roman" w:hAnsi="Times New Roman"/>
          <w:sz w:val="16"/>
          <w:szCs w:val="16"/>
          <w:lang w:val="uk-UA"/>
        </w:rPr>
      </w:pPr>
      <w:r>
        <w:rPr>
          <w:rFonts w:ascii="Times New Roman" w:hAnsi="Times New Roman"/>
          <w:sz w:val="16"/>
          <w:szCs w:val="16"/>
          <w:lang w:val="uk-UA"/>
        </w:rPr>
        <w:t>НСРД – негласні слідчі (розшукові) дії;</w:t>
      </w:r>
    </w:p>
    <w:p>
      <w:pPr>
        <w:pStyle w:val="Normal"/>
        <w:spacing w:lineRule="auto" w:line="240" w:before="0" w:after="0"/>
        <w:ind w:left="-95" w:right="-129" w:hanging="0"/>
        <w:rPr>
          <w:rFonts w:ascii="Times New Roman" w:hAnsi="Times New Roman"/>
          <w:spacing w:val="-8"/>
          <w:sz w:val="16"/>
          <w:szCs w:val="16"/>
          <w:shd w:fill="FFFFFF" w:val="clear"/>
          <w:lang w:val="uk-UA" w:eastAsia="ru-RU"/>
        </w:rPr>
      </w:pPr>
      <w:r>
        <w:rPr>
          <w:rFonts w:ascii="Times New Roman" w:hAnsi="Times New Roman"/>
          <w:spacing w:val="-8"/>
          <w:sz w:val="16"/>
          <w:szCs w:val="16"/>
          <w:shd w:fill="FFFFFF" w:val="clear"/>
          <w:lang w:val="uk-UA" w:eastAsia="ru-RU"/>
        </w:rPr>
        <w:t xml:space="preserve">  </w:t>
      </w:r>
      <w:r>
        <w:rPr>
          <w:rFonts w:ascii="Times New Roman" w:hAnsi="Times New Roman"/>
          <w:spacing w:val="-8"/>
          <w:sz w:val="16"/>
          <w:szCs w:val="16"/>
          <w:shd w:fill="FFFFFF" w:val="clear"/>
          <w:lang w:val="uk-UA" w:eastAsia="ru-RU"/>
        </w:rPr>
        <w:t>ЦА – Структурні підрозділи центрального органу управління поліції (34)</w:t>
      </w:r>
    </w:p>
    <w:p>
      <w:pPr>
        <w:pStyle w:val="Normal"/>
        <w:spacing w:lineRule="auto" w:line="240" w:before="0" w:after="0"/>
        <w:ind w:left="-95" w:right="-129" w:hanging="0"/>
        <w:rPr>
          <w:rFonts w:ascii="Times New Roman" w:hAnsi="Times New Roman"/>
          <w:spacing w:val="-8"/>
          <w:sz w:val="16"/>
          <w:szCs w:val="16"/>
          <w:shd w:fill="FFFFFF" w:val="clear"/>
          <w:lang w:val="uk-UA" w:eastAsia="ru-RU"/>
        </w:rPr>
      </w:pPr>
      <w:r>
        <w:rPr>
          <w:rFonts w:ascii="Times New Roman" w:hAnsi="Times New Roman"/>
          <w:spacing w:val="-8"/>
          <w:sz w:val="16"/>
          <w:szCs w:val="16"/>
          <w:shd w:fill="FFFFFF" w:val="clear"/>
          <w:lang w:val="uk-UA" w:eastAsia="ru-RU"/>
        </w:rPr>
        <w:t xml:space="preserve">  </w:t>
      </w:r>
      <w:r>
        <w:rPr>
          <w:rFonts w:ascii="Times New Roman" w:hAnsi="Times New Roman"/>
          <w:spacing w:val="-8"/>
          <w:sz w:val="16"/>
          <w:szCs w:val="16"/>
          <w:shd w:fill="FFFFFF" w:val="clear"/>
          <w:lang w:val="uk-UA" w:eastAsia="ru-RU"/>
        </w:rPr>
        <w:t>ТОП – Територіальні органи поліції ;</w:t>
      </w:r>
    </w:p>
    <w:p>
      <w:pPr>
        <w:pStyle w:val="Normal"/>
        <w:spacing w:lineRule="auto" w:line="240" w:before="0" w:after="0"/>
        <w:ind w:left="-95" w:right="-129" w:hanging="0"/>
        <w:rPr>
          <w:rFonts w:ascii="Times New Roman" w:hAnsi="Times New Roman"/>
          <w:spacing w:val="-8"/>
          <w:sz w:val="16"/>
          <w:szCs w:val="16"/>
          <w:shd w:fill="FFFFFF" w:val="clear"/>
          <w:lang w:val="uk-UA" w:eastAsia="ru-RU"/>
        </w:rPr>
      </w:pPr>
      <w:r>
        <w:rPr>
          <w:rFonts w:ascii="Times New Roman" w:hAnsi="Times New Roman"/>
          <w:spacing w:val="-8"/>
          <w:sz w:val="16"/>
          <w:szCs w:val="16"/>
          <w:shd w:fill="FFFFFF" w:val="clear"/>
          <w:lang w:val="uk-UA" w:eastAsia="ru-RU"/>
        </w:rPr>
        <w:t xml:space="preserve">  </w:t>
      </w:r>
      <w:r>
        <w:rPr>
          <w:rFonts w:ascii="Times New Roman" w:hAnsi="Times New Roman"/>
          <w:spacing w:val="-8"/>
          <w:sz w:val="16"/>
          <w:szCs w:val="16"/>
          <w:shd w:fill="FFFFFF" w:val="clear"/>
          <w:lang w:val="uk-UA" w:eastAsia="ru-RU"/>
        </w:rPr>
        <w:t>ДУ –  Державні установи, що належать до сфери управління Національної поліції України (32) у т.ч. Академії патрульної поліції (4) та Центр авіаційного забезпечення</w:t>
      </w:r>
    </w:p>
    <w:p>
      <w:pPr>
        <w:pStyle w:val="Normal"/>
        <w:spacing w:lineRule="auto" w:line="240" w:before="0" w:after="0"/>
        <w:jc w:val="both"/>
        <w:rPr>
          <w:rFonts w:ascii="Times New Roman" w:hAnsi="Times New Roman"/>
          <w:sz w:val="24"/>
          <w:szCs w:val="24"/>
          <w:lang w:val="uk-UA"/>
        </w:rPr>
      </w:pPr>
      <w:r>
        <w:rPr>
          <w:rFonts w:ascii="Times New Roman" w:hAnsi="Times New Roman"/>
          <w:sz w:val="24"/>
          <w:szCs w:val="24"/>
          <w:lang w:val="uk-UA"/>
        </w:rPr>
      </w:r>
    </w:p>
    <w:p>
      <w:pPr>
        <w:pStyle w:val="Normal"/>
        <w:spacing w:lineRule="auto" w:line="240" w:before="0" w:after="0"/>
        <w:jc w:val="both"/>
        <w:rPr>
          <w:rFonts w:ascii="Times New Roman" w:hAnsi="Times New Roman"/>
          <w:b/>
          <w:b/>
          <w:sz w:val="20"/>
          <w:szCs w:val="20"/>
          <w:lang w:val="uk-UA"/>
        </w:rPr>
      </w:pPr>
      <w:r>
        <w:rPr>
          <w:rFonts w:ascii="Times New Roman" w:hAnsi="Times New Roman"/>
          <w:b/>
          <w:sz w:val="20"/>
          <w:szCs w:val="20"/>
          <w:lang w:val="uk-UA"/>
        </w:rPr>
        <w:t>Т.в.о. начальника</w:t>
      </w:r>
    </w:p>
    <w:p>
      <w:pPr>
        <w:pStyle w:val="Normal"/>
        <w:spacing w:lineRule="auto" w:line="240" w:before="0" w:after="0"/>
        <w:jc w:val="both"/>
        <w:rPr>
          <w:rFonts w:ascii="Times New Roman" w:hAnsi="Times New Roman"/>
          <w:b/>
          <w:b/>
          <w:sz w:val="20"/>
          <w:szCs w:val="20"/>
          <w:lang w:val="uk-UA"/>
        </w:rPr>
      </w:pPr>
      <w:r>
        <w:rPr>
          <w:rFonts w:ascii="Times New Roman" w:hAnsi="Times New Roman"/>
          <w:b/>
          <w:sz w:val="20"/>
          <w:szCs w:val="20"/>
          <w:lang w:val="uk-UA"/>
        </w:rPr>
        <w:t>Управління запобігання корупції</w:t>
      </w:r>
    </w:p>
    <w:p>
      <w:pPr>
        <w:pStyle w:val="Normal"/>
        <w:spacing w:lineRule="auto" w:line="240" w:before="0" w:after="0"/>
        <w:jc w:val="both"/>
        <w:rPr>
          <w:rFonts w:ascii="Times New Roman" w:hAnsi="Times New Roman"/>
          <w:b/>
          <w:b/>
          <w:sz w:val="20"/>
          <w:szCs w:val="20"/>
          <w:lang w:val="uk-UA"/>
        </w:rPr>
      </w:pPr>
      <w:r>
        <w:rPr>
          <w:rFonts w:ascii="Times New Roman" w:hAnsi="Times New Roman"/>
          <w:b/>
          <w:sz w:val="20"/>
          <w:szCs w:val="20"/>
          <w:lang w:val="uk-UA"/>
        </w:rPr>
        <w:t xml:space="preserve">Національної поліції України </w:t>
      </w:r>
    </w:p>
    <w:p>
      <w:pPr>
        <w:pStyle w:val="Normal"/>
        <w:tabs>
          <w:tab w:val="clear" w:pos="708"/>
          <w:tab w:val="left" w:pos="142" w:leader="none"/>
          <w:tab w:val="left" w:pos="13041" w:leader="none"/>
        </w:tabs>
        <w:spacing w:lineRule="auto" w:line="240" w:before="0" w:after="0"/>
        <w:ind w:left="567" w:right="-314" w:hanging="567"/>
        <w:jc w:val="both"/>
        <w:rPr>
          <w:rFonts w:ascii="Times New Roman" w:hAnsi="Times New Roman"/>
          <w:b/>
          <w:b/>
          <w:sz w:val="20"/>
          <w:szCs w:val="20"/>
          <w:lang w:val="uk-UA"/>
        </w:rPr>
      </w:pPr>
      <w:r>
        <w:rPr>
          <w:rFonts w:ascii="Times New Roman" w:hAnsi="Times New Roman"/>
          <w:b/>
          <w:sz w:val="20"/>
          <w:szCs w:val="20"/>
          <w:lang w:val="uk-UA"/>
        </w:rPr>
        <w:t xml:space="preserve">полковник поліції                                                                                                                                                                                                                                              Руслан СПІЧАК </w:t>
      </w:r>
    </w:p>
    <w:p>
      <w:pPr>
        <w:pStyle w:val="Normal"/>
        <w:spacing w:lineRule="auto" w:line="240" w:before="0" w:after="0"/>
        <w:jc w:val="both"/>
        <w:rPr>
          <w:rFonts w:ascii="Times New Roman" w:hAnsi="Times New Roman"/>
          <w:lang w:val="uk-UA"/>
        </w:rPr>
      </w:pPr>
      <w:r>
        <w:rPr>
          <w:rFonts w:ascii="Times New Roman" w:hAnsi="Times New Roman"/>
          <w:lang w:val="uk-UA"/>
        </w:rPr>
        <w:t xml:space="preserve">    </w:t>
      </w:r>
    </w:p>
    <w:p>
      <w:pPr>
        <w:pStyle w:val="Normal"/>
        <w:spacing w:lineRule="auto" w:line="240" w:before="0" w:after="0"/>
        <w:ind w:right="-456" w:hanging="0"/>
        <w:jc w:val="both"/>
        <w:rPr>
          <w:rFonts w:ascii="Times New Roman" w:hAnsi="Times New Roman"/>
          <w:sz w:val="14"/>
          <w:szCs w:val="14"/>
          <w:lang w:val="uk-UA"/>
        </w:rPr>
      </w:pPr>
      <w:r>
        <w:rPr>
          <w:rFonts w:ascii="Times New Roman" w:hAnsi="Times New Roman"/>
          <w:sz w:val="14"/>
          <w:szCs w:val="14"/>
          <w:lang w:val="uk-UA"/>
        </w:rPr>
      </w:r>
    </w:p>
    <w:p>
      <w:pPr>
        <w:pStyle w:val="Normal"/>
        <w:spacing w:lineRule="auto" w:line="240" w:before="0" w:after="0"/>
        <w:rPr>
          <w:rFonts w:ascii="Times New Roman" w:hAnsi="Times New Roman"/>
          <w:i/>
          <w:i/>
          <w:sz w:val="20"/>
          <w:szCs w:val="20"/>
          <w:lang w:val="uk-UA"/>
        </w:rPr>
      </w:pPr>
      <w:r>
        <w:rPr>
          <w:rFonts w:ascii="Times New Roman" w:hAnsi="Times New Roman"/>
          <w:i/>
          <w:sz w:val="20"/>
          <w:szCs w:val="20"/>
          <w:lang w:val="uk-UA"/>
        </w:rPr>
        <w:t>«09» липня 2024 року</w:t>
      </w:r>
    </w:p>
    <w:sectPr>
      <w:type w:val="nextPage"/>
      <w:pgSz w:orient="landscape" w:w="16838" w:h="11906"/>
      <w:pgMar w:left="1134" w:right="567" w:gutter="0" w:header="0" w:top="284" w:footer="0" w:bottom="28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libri">
    <w:charset w:val="01"/>
    <w:family w:val="roman"/>
    <w:pitch w:val="variable"/>
  </w:font>
  <w:font w:name="Cambria">
    <w:charset w:val="01"/>
    <w:family w:val="roman"/>
    <w:pitch w:val="variable"/>
  </w:font>
  <w:font w:name="Segoe UI">
    <w:charset w:val="01"/>
    <w:family w:val="roman"/>
    <w:pitch w:val="variable"/>
  </w:font>
  <w:font w:name="Carlito">
    <w:altName w:val="Calibri"/>
    <w:charset w:val="01"/>
    <w:family w:val="swiss"/>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numFmt w:val="bullet"/>
      <w:lvlText w:val="-"/>
      <w:lvlJc w:val="left"/>
      <w:pPr>
        <w:tabs>
          <w:tab w:val="num" w:pos="0"/>
        </w:tabs>
        <w:ind w:left="390" w:hanging="360"/>
      </w:pPr>
      <w:rPr>
        <w:rFonts w:ascii="Times New Roman" w:hAnsi="Times New Roman" w:cs="Times New Roman" w:hint="default"/>
        <w:color w:val="000000"/>
      </w:rPr>
    </w:lvl>
    <w:lvl w:ilvl="1">
      <w:start w:val="1"/>
      <w:numFmt w:val="bullet"/>
      <w:lvlText w:val="o"/>
      <w:lvlJc w:val="left"/>
      <w:pPr>
        <w:tabs>
          <w:tab w:val="num" w:pos="0"/>
        </w:tabs>
        <w:ind w:left="1110" w:hanging="360"/>
      </w:pPr>
      <w:rPr>
        <w:rFonts w:ascii="Courier New" w:hAnsi="Courier New" w:cs="Courier New" w:hint="default"/>
      </w:rPr>
    </w:lvl>
    <w:lvl w:ilvl="2">
      <w:start w:val="1"/>
      <w:numFmt w:val="bullet"/>
      <w:lvlText w:val=""/>
      <w:lvlJc w:val="left"/>
      <w:pPr>
        <w:tabs>
          <w:tab w:val="num" w:pos="0"/>
        </w:tabs>
        <w:ind w:left="1830" w:hanging="360"/>
      </w:pPr>
      <w:rPr>
        <w:rFonts w:ascii="Wingdings" w:hAnsi="Wingdings" w:cs="Wingdings" w:hint="default"/>
      </w:rPr>
    </w:lvl>
    <w:lvl w:ilvl="3">
      <w:start w:val="1"/>
      <w:numFmt w:val="bullet"/>
      <w:lvlText w:val=""/>
      <w:lvlJc w:val="left"/>
      <w:pPr>
        <w:tabs>
          <w:tab w:val="num" w:pos="0"/>
        </w:tabs>
        <w:ind w:left="2550" w:hanging="360"/>
      </w:pPr>
      <w:rPr>
        <w:rFonts w:ascii="Symbol" w:hAnsi="Symbol" w:cs="Symbol" w:hint="default"/>
      </w:rPr>
    </w:lvl>
    <w:lvl w:ilvl="4">
      <w:start w:val="1"/>
      <w:numFmt w:val="bullet"/>
      <w:lvlText w:val="o"/>
      <w:lvlJc w:val="left"/>
      <w:pPr>
        <w:tabs>
          <w:tab w:val="num" w:pos="0"/>
        </w:tabs>
        <w:ind w:left="3270" w:hanging="360"/>
      </w:pPr>
      <w:rPr>
        <w:rFonts w:ascii="Courier New" w:hAnsi="Courier New" w:cs="Courier New" w:hint="default"/>
      </w:rPr>
    </w:lvl>
    <w:lvl w:ilvl="5">
      <w:start w:val="1"/>
      <w:numFmt w:val="bullet"/>
      <w:lvlText w:val=""/>
      <w:lvlJc w:val="left"/>
      <w:pPr>
        <w:tabs>
          <w:tab w:val="num" w:pos="0"/>
        </w:tabs>
        <w:ind w:left="3990" w:hanging="360"/>
      </w:pPr>
      <w:rPr>
        <w:rFonts w:ascii="Wingdings" w:hAnsi="Wingdings" w:cs="Wingdings" w:hint="default"/>
      </w:rPr>
    </w:lvl>
    <w:lvl w:ilvl="6">
      <w:start w:val="1"/>
      <w:numFmt w:val="bullet"/>
      <w:lvlText w:val=""/>
      <w:lvlJc w:val="left"/>
      <w:pPr>
        <w:tabs>
          <w:tab w:val="num" w:pos="0"/>
        </w:tabs>
        <w:ind w:left="4710" w:hanging="360"/>
      </w:pPr>
      <w:rPr>
        <w:rFonts w:ascii="Symbol" w:hAnsi="Symbol" w:cs="Symbol" w:hint="default"/>
      </w:rPr>
    </w:lvl>
    <w:lvl w:ilvl="7">
      <w:start w:val="1"/>
      <w:numFmt w:val="bullet"/>
      <w:lvlText w:val="o"/>
      <w:lvlJc w:val="left"/>
      <w:pPr>
        <w:tabs>
          <w:tab w:val="num" w:pos="0"/>
        </w:tabs>
        <w:ind w:left="5430" w:hanging="360"/>
      </w:pPr>
      <w:rPr>
        <w:rFonts w:ascii="Courier New" w:hAnsi="Courier New" w:cs="Courier New" w:hint="default"/>
      </w:rPr>
    </w:lvl>
    <w:lvl w:ilvl="8">
      <w:start w:val="1"/>
      <w:numFmt w:val="bullet"/>
      <w:lvlText w:val=""/>
      <w:lvlJc w:val="left"/>
      <w:pPr>
        <w:tabs>
          <w:tab w:val="num" w:pos="0"/>
        </w:tabs>
        <w:ind w:left="615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83683"/>
    <w:pPr>
      <w:widowControl/>
      <w:bidi w:val="0"/>
      <w:spacing w:lineRule="auto" w:line="276" w:before="0" w:after="200"/>
      <w:jc w:val="left"/>
    </w:pPr>
    <w:rPr>
      <w:rFonts w:ascii="Calibri" w:hAnsi="Calibri" w:eastAsia="Times New Roman" w:cs="Times New Roman"/>
      <w:color w:val="auto"/>
      <w:kern w:val="0"/>
      <w:sz w:val="22"/>
      <w:szCs w:val="22"/>
      <w:lang w:val="en-US" w:eastAsia="en-US" w:bidi="ar-SA"/>
    </w:rPr>
  </w:style>
  <w:style w:type="paragraph" w:styleId="Heading3">
    <w:name w:val="Heading 3"/>
    <w:basedOn w:val="Normal"/>
    <w:next w:val="Normal"/>
    <w:link w:val="3"/>
    <w:uiPriority w:val="99"/>
    <w:qFormat/>
    <w:rsid w:val="00083683"/>
    <w:pPr>
      <w:keepNext w:val="true"/>
      <w:keepLines/>
      <w:spacing w:before="200" w:after="200"/>
      <w:outlineLvl w:val="2"/>
    </w:pPr>
    <w:rPr>
      <w:rFonts w:ascii="Cambria" w:hAnsi="Cambria"/>
      <w:b/>
      <w:bCs/>
      <w:color w:val="4F81BD"/>
    </w:rPr>
  </w:style>
  <w:style w:type="character" w:styleId="DefaultParagraphFont" w:default="1">
    <w:name w:val="Default Paragraph Font"/>
    <w:uiPriority w:val="1"/>
    <w:semiHidden/>
    <w:unhideWhenUsed/>
    <w:qFormat/>
    <w:rPr/>
  </w:style>
  <w:style w:type="character" w:styleId="3" w:customStyle="1">
    <w:name w:val="Заголовок 3 Знак"/>
    <w:basedOn w:val="DefaultParagraphFont"/>
    <w:uiPriority w:val="99"/>
    <w:qFormat/>
    <w:locked/>
    <w:rsid w:val="00083683"/>
    <w:rPr>
      <w:rFonts w:ascii="Cambria" w:hAnsi="Cambria" w:cs="Times New Roman"/>
      <w:b/>
      <w:bCs/>
      <w:color w:val="4F81BD"/>
      <w:sz w:val="22"/>
      <w:szCs w:val="22"/>
      <w:lang w:val="en-US" w:eastAsia="en-US" w:bidi="ar-SA"/>
    </w:rPr>
  </w:style>
  <w:style w:type="character" w:styleId="Hyperlink">
    <w:name w:val="Hyperlink"/>
    <w:basedOn w:val="DefaultParagraphFont"/>
    <w:uiPriority w:val="99"/>
    <w:unhideWhenUsed/>
    <w:rsid w:val="003a2c4f"/>
    <w:rPr>
      <w:color w:val="0000FF" w:themeColor="hyperlink"/>
      <w:u w:val="single"/>
    </w:rPr>
  </w:style>
  <w:style w:type="character" w:styleId="FollowedHyperlink">
    <w:name w:val="FollowedHyperlink"/>
    <w:basedOn w:val="DefaultParagraphFont"/>
    <w:uiPriority w:val="99"/>
    <w:semiHidden/>
    <w:unhideWhenUsed/>
    <w:rsid w:val="005376b1"/>
    <w:rPr>
      <w:color w:val="800080" w:themeColor="followedHyperlink"/>
      <w:u w:val="single"/>
    </w:rPr>
  </w:style>
  <w:style w:type="character" w:styleId="Style8" w:customStyle="1">
    <w:name w:val="Текст выноски Знак"/>
    <w:basedOn w:val="DefaultParagraphFont"/>
    <w:link w:val="BalloonText"/>
    <w:uiPriority w:val="99"/>
    <w:semiHidden/>
    <w:qFormat/>
    <w:rsid w:val="000c76ba"/>
    <w:rPr>
      <w:rFonts w:ascii="Segoe UI" w:hAnsi="Segoe UI" w:cs="Segoe UI"/>
      <w:sz w:val="18"/>
      <w:szCs w:val="18"/>
      <w:lang w:val="en-US" w:eastAsia="en-US"/>
    </w:rPr>
  </w:style>
  <w:style w:type="character" w:styleId="Spanrvts0" w:customStyle="1">
    <w:name w:val="span_rvts0"/>
    <w:basedOn w:val="DefaultParagraphFont"/>
    <w:qFormat/>
    <w:rsid w:val="00fb1682"/>
    <w:rPr>
      <w:rFonts w:ascii="Times New Roman" w:hAnsi="Times New Roman" w:eastAsia="Times New Roman" w:cs="Times New Roman"/>
      <w:b w:val="false"/>
      <w:bCs w:val="false"/>
      <w:i w:val="false"/>
      <w:iCs w:val="false"/>
      <w:sz w:val="24"/>
      <w:szCs w:val="24"/>
    </w:rPr>
  </w:style>
  <w:style w:type="character" w:styleId="Arvts96" w:customStyle="1">
    <w:name w:val="a_rvts96"/>
    <w:basedOn w:val="DefaultParagraphFont"/>
    <w:qFormat/>
    <w:rsid w:val="00fb1682"/>
    <w:rPr>
      <w:rFonts w:ascii="Times New Roman" w:hAnsi="Times New Roman" w:eastAsia="Times New Roman" w:cs="Times New Roman"/>
      <w:b w:val="false"/>
      <w:bCs w:val="false"/>
      <w:i w:val="false"/>
      <w:iCs w:val="false"/>
      <w:color w:val="000099"/>
      <w:sz w:val="24"/>
      <w:szCs w:val="24"/>
    </w:rPr>
  </w:style>
  <w:style w:type="paragraph" w:styleId="Style9">
    <w:name w:val="Заголовок"/>
    <w:basedOn w:val="Normal"/>
    <w:next w:val="BodyText"/>
    <w:qFormat/>
    <w:pPr>
      <w:keepNext w:val="true"/>
      <w:spacing w:before="240" w:after="120"/>
    </w:pPr>
    <w:rPr>
      <w:rFonts w:ascii="Carlito" w:hAnsi="Carlito"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Style10">
    <w:name w:val="Покажчик"/>
    <w:basedOn w:val="Normal"/>
    <w:qFormat/>
    <w:pPr>
      <w:suppressLineNumbers/>
    </w:pPr>
    <w:rPr>
      <w:rFonts w:cs="Noto Sans Devanagari"/>
      <w:lang w:val="zxx" w:eastAsia="zxx" w:bidi="zxx"/>
    </w:rPr>
  </w:style>
  <w:style w:type="paragraph" w:styleId="ListParagraph">
    <w:name w:val="List Paragraph"/>
    <w:basedOn w:val="Normal"/>
    <w:uiPriority w:val="34"/>
    <w:qFormat/>
    <w:rsid w:val="006b65ca"/>
    <w:pPr>
      <w:spacing w:before="0" w:after="200"/>
      <w:ind w:left="720" w:hanging="0"/>
      <w:contextualSpacing/>
    </w:pPr>
    <w:rPr/>
  </w:style>
  <w:style w:type="paragraph" w:styleId="NormalWeb">
    <w:name w:val="Normal (Web)"/>
    <w:basedOn w:val="Normal"/>
    <w:uiPriority w:val="99"/>
    <w:unhideWhenUsed/>
    <w:qFormat/>
    <w:rsid w:val="00aa7d4c"/>
    <w:pPr>
      <w:spacing w:lineRule="auto" w:line="240" w:beforeAutospacing="1" w:afterAutospacing="1"/>
    </w:pPr>
    <w:rPr>
      <w:rFonts w:ascii="Times New Roman" w:hAnsi="Times New Roman"/>
      <w:sz w:val="24"/>
      <w:szCs w:val="24"/>
      <w:lang w:val="ru-RU" w:eastAsia="ru-RU"/>
    </w:rPr>
  </w:style>
  <w:style w:type="paragraph" w:styleId="BlockText">
    <w:name w:val="Block Text"/>
    <w:basedOn w:val="Normal"/>
    <w:qFormat/>
    <w:rsid w:val="00b85ef2"/>
    <w:pPr>
      <w:shd w:val="clear" w:color="auto" w:fill="FFFFFF"/>
      <w:spacing w:lineRule="exact" w:line="326" w:before="0" w:after="0"/>
      <w:ind w:left="158" w:right="19" w:firstLine="706"/>
      <w:jc w:val="both"/>
    </w:pPr>
    <w:rPr>
      <w:rFonts w:ascii="Times New Roman" w:hAnsi="Times New Roman" w:eastAsia="Calibri"/>
      <w:b/>
      <w:color w:val="000000"/>
      <w:sz w:val="28"/>
      <w:szCs w:val="20"/>
      <w:lang w:val="uk-UA" w:eastAsia="ru-RU"/>
    </w:rPr>
  </w:style>
  <w:style w:type="paragraph" w:styleId="BalloonText">
    <w:name w:val="Balloon Text"/>
    <w:basedOn w:val="Normal"/>
    <w:link w:val="Style8"/>
    <w:uiPriority w:val="99"/>
    <w:semiHidden/>
    <w:unhideWhenUsed/>
    <w:qFormat/>
    <w:rsid w:val="000c76ba"/>
    <w:pPr>
      <w:spacing w:lineRule="auto" w:line="240" w:before="0" w:after="0"/>
    </w:pPr>
    <w:rPr>
      <w:rFonts w:ascii="Segoe UI" w:hAnsi="Segoe UI" w:cs="Segoe UI"/>
      <w:sz w:val="18"/>
      <w:szCs w:val="18"/>
    </w:rPr>
  </w:style>
  <w:style w:type="paragraph" w:styleId="NoSpacing">
    <w:name w:val="No Spacing"/>
    <w:uiPriority w:val="1"/>
    <w:qFormat/>
    <w:rsid w:val="00b447ae"/>
    <w:pPr>
      <w:widowControl/>
      <w:bidi w:val="0"/>
      <w:spacing w:before="0" w:after="0"/>
      <w:jc w:val="left"/>
    </w:pPr>
    <w:rPr>
      <w:rFonts w:eastAsia="Calibri" w:ascii="Times New Roman" w:hAnsi="Times New Roman" w:cs="Times New Roman"/>
      <w:color w:val="auto"/>
      <w:kern w:val="0"/>
      <w:sz w:val="28"/>
      <w:szCs w:val="28"/>
      <w:lang w:val="uk-UA" w:eastAsia="uk-UA" w:bidi="ar-SA"/>
    </w:rPr>
  </w:style>
  <w:style w:type="paragraph" w:styleId="Rvps2" w:customStyle="1">
    <w:name w:val="rvps2"/>
    <w:basedOn w:val="Normal"/>
    <w:qFormat/>
    <w:rsid w:val="00fb1682"/>
    <w:pPr>
      <w:spacing w:lineRule="auto" w:line="240" w:beforeAutospacing="1" w:afterAutospacing="1"/>
    </w:pPr>
    <w:rPr>
      <w:rFonts w:ascii="Times New Roman" w:hAnsi="Times New Roman"/>
      <w:sz w:val="24"/>
      <w:szCs w:val="24"/>
    </w:rPr>
  </w:style>
  <w:style w:type="paragraph" w:styleId="21" w:customStyle="1">
    <w:name w:val="Основной текст с отступом 21"/>
    <w:basedOn w:val="Normal"/>
    <w:qFormat/>
    <w:rsid w:val="004a239d"/>
    <w:pPr>
      <w:suppressAutoHyphens w:val="true"/>
      <w:spacing w:lineRule="auto" w:line="240" w:before="0" w:after="0"/>
      <w:ind w:firstLine="709"/>
      <w:jc w:val="both"/>
    </w:pPr>
    <w:rPr>
      <w:rFonts w:ascii="Times New Roman" w:hAnsi="Times New Roman"/>
      <w:sz w:val="28"/>
      <w:szCs w:val="24"/>
      <w:lang w:val="ru-RU" w:eastAsia="zh-CN"/>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npu.gov.ua/assets/userfiles/files/coruptsiya/recomendatsii_typovi_sytuatsii.doc" TargetMode="External"/><Relationship Id="rId3" Type="http://schemas.openxmlformats.org/officeDocument/2006/relationships/hyperlink" Target="https://ips.ligazakon.net/document/view/T14_1700?ed=2021_02_23" TargetMode="External"/><Relationship Id="rId4" Type="http://schemas.openxmlformats.org/officeDocument/2006/relationships/hyperlink" Target="https://www.npu.gov.ua/pro-policiyu/zapobigannya-i-protidiya-korupciyi/vidpovidalnist-za-korupcijni-abo-povyazani-z-korupciyeyu-pravoporushennya" TargetMode="External"/><Relationship Id="rId5" Type="http://schemas.openxmlformats.org/officeDocument/2006/relationships/hyperlink" Target="https://www.npu.gov.ua/pro-policiyu/zapobigannya-i-protidiya-korupciyi/vidpovidalnist-za-korupcijni-abo-povyazani-z-korupciyeyu-pravoporushennya" TargetMode="External"/><Relationship Id="rId6" Type="http://schemas.openxmlformats.org/officeDocument/2006/relationships/hyperlink" Target="https://mvs.gov.ua/news/igor-klimenko-usia-zbroia-iaka-na-rukax-v-ukrayinciv-bude-v-jedinomu-rejestri-zbroyi" TargetMode="External"/><Relationship Id="rId7" Type="http://schemas.openxmlformats.org/officeDocument/2006/relationships/hyperlink" Target="https://www.ukrinform.ua/rubric-society/3726601-v-ukraini-zapracuvav-edinij-reestr-zbroi.html" TargetMode="External"/><Relationship Id="rId8" Type="http://schemas.openxmlformats.org/officeDocument/2006/relationships/hyperlink" Target="https://mvs.gov.ua/news/leonid-timcenko-v-jedinomu-rejestri-zbroyi-usi-elektronni-dokumenti-proxodiat-verifikaciiu" TargetMode="External"/><Relationship Id="rId9" Type="http://schemas.openxmlformats.org/officeDocument/2006/relationships/hyperlink" Target="https://www.npu.gov.ua/pro-policiyu/zapobigannya-i-protidiya-korupciyi/vidpovidalnist-za-korupcijni-abo-povyazani-z-korupciyeyu-pravoporushennya" TargetMode="External"/><Relationship Id="rId10" Type="http://schemas.openxmlformats.org/officeDocument/2006/relationships/hyperlink" Target="https://www.npu.gov.ua/pro-policiyu/zapobigannya-i-protidiya-korupciyi/vidpovidalnist-za-korupcijni-abo-povyazani-z-korupciyeyu-pravoporushennya" TargetMode="External"/><Relationship Id="rId11" Type="http://schemas.openxmlformats.org/officeDocument/2006/relationships/hyperlink" Target="https://www.npu.gov.ua/pro-policiyu/zapobigannya-i-protidiya-korupciyi/vidpovidalnist-za-korupcijni-abo-povyazani-z-korupciyeyu-pravoporushennya" TargetMode="External"/><Relationship Id="rId12" Type="http://schemas.openxmlformats.org/officeDocument/2006/relationships/hyperlink" Target="https://www.npu.gov.ua/pro-policiyu/zapobigannya-i-protidiya-korupciyi/vidpovidalnist-za-korupcijni-abo-povyazani-z-korupciyeyu-pravoporushennya" TargetMode="External"/><Relationship Id="rId13" Type="http://schemas.openxmlformats.org/officeDocument/2006/relationships/hyperlink" Target="https://www.npu.gov.ua/pro-policiyu/zapobigannya-i-protidiya-korupciyi/vidpovidalnist-za-korupcijni-abo-povyazani-z-korupciyeyu-pravoporushennya" TargetMode="External"/><Relationship Id="rId14" Type="http://schemas.openxmlformats.org/officeDocument/2006/relationships/hyperlink" Target="https://www.npu.gov.ua/pro-policiyu/zapobigannya-i-protidiya-korupciyi/vidpovidalnist-za-korupcijni-abo-povyazani-z-korupciyeyu-pravoporushennya" TargetMode="External"/><Relationship Id="rId15" Type="http://schemas.openxmlformats.org/officeDocument/2006/relationships/hyperlink" Target="https://www.npu.gov.ua/pro-policiyu/zapobigannya-i-protidiya-korupciyi/vidpovidalnist-za-korupcijni-abo-povyazani-z-korupciyeyu-pravoporushennya" TargetMode="External"/><Relationship Id="rId16" Type="http://schemas.openxmlformats.org/officeDocument/2006/relationships/hyperlink" Target="https://www.npu.gov.ua/pro-policiyu/zapobigannya-i-protidiya-korupciyi/vidpovidalnist-za-korupcijni-abo-povyazani-z-korupciyeyu-pravoporushennya" TargetMode="External"/><Relationship Id="rId17" Type="http://schemas.openxmlformats.org/officeDocument/2006/relationships/hyperlink" Target="https://www.npu.gov.ua/pro-policiyu/zapobigannya-i-protidiya-korupciyi/vidpovidalnist-za-korupcijni-abo-povyazani-z-korupciyeyu-pravoporushennya" TargetMode="External"/><Relationship Id="rId18" Type="http://schemas.openxmlformats.org/officeDocument/2006/relationships/hyperlink" Target="mailto:dmp@police.gov.ua" TargetMode="External"/><Relationship Id="rId19" Type="http://schemas.openxmlformats.org/officeDocument/2006/relationships/hyperlink" Target="https://www.npu.gov.ua/gromadyanam/povidomiti-pro-korupciyu-v-policiyi" TargetMode="External"/><Relationship Id="rId20" Type="http://schemas.openxmlformats.org/officeDocument/2006/relationships/hyperlink" Target="tel:0-800-50-02-02" TargetMode="External"/><Relationship Id="rId21" Type="http://schemas.openxmlformats.org/officeDocument/2006/relationships/hyperlink" Target="https://www.npu.gov.ua/gromadyanam/chasti-zapiti/korisna-informaciya-ta-poradi" TargetMode="Externa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05166-876D-4E0D-921F-2B7131983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Application>Collabora_Office/22.05.20.1$Linux_X86_64 LibreOffice_project/bd9263bb6d0222e89e44fbff51d0d094dad8e281</Application>
  <AppVersion>15.0000</AppVersion>
  <Pages>84</Pages>
  <Words>33615</Words>
  <Characters>245475</Characters>
  <CharactersWithSpaces>280386</CharactersWithSpaces>
  <Paragraphs>2525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2024-07-09T06:31:00Z</dcterms:created>
  <dc:creator>Пользователь</dc:creator>
  <dc:description/>
  <dc:language>uk-UA</dc:language>
  <cp:lastModifiedBy>user</cp:lastModifiedBy>
  <cp:lastPrinted>2023-07-10T08:07:00Z</cp:lastPrinted>
  <dcterms:modified xsi:type="dcterms:W3CDTF">2024-07-16T12:49:00Z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